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E14" w:rsidRPr="00A51D1A" w:rsidRDefault="001F1A7A" w:rsidP="00A51D1A">
      <w:pPr>
        <w:pStyle w:val="ACMAReportTitle"/>
      </w:pPr>
      <w:r>
        <w:t>Corporate plan 2016</w:t>
      </w:r>
      <w:r w:rsidR="00CB1F64">
        <w:t>–</w:t>
      </w:r>
      <w:r>
        <w:t>17</w:t>
      </w:r>
    </w:p>
    <w:p w:rsidR="001F1A7A" w:rsidRDefault="001F1A7A" w:rsidP="00F06E14">
      <w:pPr>
        <w:pStyle w:val="ACMAReportSubTitle"/>
      </w:pPr>
    </w:p>
    <w:p w:rsidR="00F06E14" w:rsidRDefault="001F1A7A" w:rsidP="00D47AEB">
      <w:pPr>
        <w:pStyle w:val="ACMAReportDate"/>
        <w:spacing w:after="720"/>
      </w:pPr>
      <w:r>
        <w:t>August 2016</w:t>
      </w:r>
    </w:p>
    <w:p w:rsidR="00C97736" w:rsidRPr="000D76E0" w:rsidRDefault="00C97736" w:rsidP="0041071D">
      <w:pPr>
        <w:rPr>
          <w:rFonts w:cs="Arial"/>
        </w:rPr>
      </w:pPr>
    </w:p>
    <w:p w:rsidR="00C97736" w:rsidRPr="000D76E0" w:rsidRDefault="00C97736" w:rsidP="0041071D">
      <w:pPr>
        <w:rPr>
          <w:rFonts w:cs="Arial"/>
        </w:rPr>
        <w:sectPr w:rsidR="00C97736" w:rsidRPr="000D76E0" w:rsidSect="004F556E">
          <w:headerReference w:type="default" r:id="rId8"/>
          <w:footerReference w:type="default" r:id="rId9"/>
          <w:headerReference w:type="first" r:id="rId10"/>
          <w:pgSz w:w="11906" w:h="16838" w:code="9"/>
          <w:pgMar w:top="3924" w:right="1797" w:bottom="1440" w:left="1134" w:header="709" w:footer="454" w:gutter="0"/>
          <w:cols w:space="708"/>
          <w:docGrid w:linePitch="360"/>
        </w:sectPr>
      </w:pPr>
    </w:p>
    <w:p w:rsidR="0005011A" w:rsidRPr="00F44F3A" w:rsidRDefault="0005011A" w:rsidP="00FC07B9">
      <w:pPr>
        <w:pStyle w:val="ACMACorporateAddressHeader"/>
      </w:pPr>
      <w:r w:rsidRPr="00F44F3A">
        <w:lastRenderedPageBreak/>
        <w:t>Canberra</w:t>
      </w:r>
    </w:p>
    <w:p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rsidR="0005011A" w:rsidRPr="00FC07B9" w:rsidRDefault="0005011A" w:rsidP="00FC07B9">
      <w:pPr>
        <w:pStyle w:val="ACMACorporateAddresses"/>
      </w:pPr>
      <w:r w:rsidRPr="00FC07B9">
        <w:t>PO Box 78</w:t>
      </w:r>
      <w:r w:rsidRPr="00FC07B9">
        <w:br/>
        <w:t>Belconnen ACT 2616</w:t>
      </w:r>
    </w:p>
    <w:p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rsidR="0005011A" w:rsidRPr="00F44F3A" w:rsidRDefault="0005011A" w:rsidP="00FC07B9">
      <w:pPr>
        <w:pStyle w:val="ACMACorporateAddressHeader"/>
      </w:pPr>
      <w:r w:rsidRPr="00F44F3A">
        <w:t>Melbourne</w:t>
      </w:r>
    </w:p>
    <w:p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rsidR="0005011A" w:rsidRPr="00F44F3A" w:rsidRDefault="0005011A" w:rsidP="00FC07B9">
      <w:pPr>
        <w:pStyle w:val="ACMACorporateAddresses"/>
      </w:pPr>
      <w:r w:rsidRPr="00F44F3A">
        <w:t>PO Box 13112</w:t>
      </w:r>
      <w:r w:rsidRPr="00F44F3A">
        <w:br/>
        <w:t xml:space="preserve">Law Courts </w:t>
      </w:r>
      <w:r w:rsidRPr="00F44F3A">
        <w:br/>
        <w:t>Melbourne VIC 8010</w:t>
      </w:r>
    </w:p>
    <w:p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rsidR="0005011A" w:rsidRPr="00F44F3A" w:rsidRDefault="0005011A" w:rsidP="00FC07B9">
      <w:pPr>
        <w:pStyle w:val="ACMACorporateAddressHeader"/>
      </w:pPr>
      <w:r w:rsidRPr="00F44F3A">
        <w:t>Sydney</w:t>
      </w:r>
    </w:p>
    <w:p w:rsidR="0005011A" w:rsidRPr="00F44F3A" w:rsidRDefault="0005011A" w:rsidP="00FC07B9">
      <w:pPr>
        <w:pStyle w:val="ACMACorporateAddresses"/>
      </w:pPr>
      <w:r w:rsidRPr="00F44F3A">
        <w:t xml:space="preserve">Level 5 </w:t>
      </w:r>
      <w:r w:rsidRPr="00F44F3A">
        <w:br/>
      </w:r>
      <w:proofErr w:type="gramStart"/>
      <w:r w:rsidRPr="00F44F3A">
        <w:t>The</w:t>
      </w:r>
      <w:proofErr w:type="gramEnd"/>
      <w:r w:rsidRPr="00F44F3A">
        <w:t xml:space="preserve"> Bay Centre</w:t>
      </w:r>
      <w:r w:rsidRPr="00F44F3A">
        <w:br/>
        <w:t xml:space="preserve">65 </w:t>
      </w:r>
      <w:proofErr w:type="spellStart"/>
      <w:r w:rsidRPr="00F44F3A">
        <w:t>Pirrama</w:t>
      </w:r>
      <w:proofErr w:type="spellEnd"/>
      <w:r w:rsidRPr="00F44F3A">
        <w:t xml:space="preserve"> Road </w:t>
      </w:r>
      <w:r w:rsidRPr="00F44F3A">
        <w:br/>
        <w:t>Pyrmont NSW</w:t>
      </w:r>
    </w:p>
    <w:p w:rsidR="0005011A" w:rsidRPr="00F44F3A" w:rsidRDefault="0005011A" w:rsidP="00FC07B9">
      <w:pPr>
        <w:pStyle w:val="ACMACorporateAddresses"/>
      </w:pPr>
      <w:r w:rsidRPr="00F44F3A">
        <w:t xml:space="preserve">PO Box </w:t>
      </w:r>
      <w:proofErr w:type="spellStart"/>
      <w:r w:rsidRPr="00F44F3A">
        <w:t>Q500</w:t>
      </w:r>
      <w:proofErr w:type="spellEnd"/>
      <w:r w:rsidRPr="00F44F3A">
        <w:br/>
        <w:t xml:space="preserve">Queen Victoria Building </w:t>
      </w:r>
      <w:r w:rsidRPr="00F44F3A">
        <w:br/>
        <w:t>NSW 1230</w:t>
      </w:r>
    </w:p>
    <w:p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rsidR="00140318" w:rsidRPr="006D46E5" w:rsidRDefault="00140318" w:rsidP="00FC07B9">
      <w:pPr>
        <w:pStyle w:val="ACMACopyrightHeader"/>
      </w:pPr>
      <w:r w:rsidRPr="00140318">
        <w:t>Copyright notice</w:t>
      </w:r>
    </w:p>
    <w:p w:rsidR="00140318" w:rsidRPr="006D46E5" w:rsidRDefault="00623FF9" w:rsidP="00623FF9">
      <w:pPr>
        <w:pStyle w:val="ACMACClogo"/>
      </w:pPr>
      <w:r w:rsidRPr="00623FF9">
        <w:rPr>
          <w:noProof/>
        </w:rPr>
        <w:drawing>
          <wp:inline distT="0" distB="0" distL="0" distR="0" wp14:anchorId="48AD0CE1" wp14:editId="31D3E99B">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rsidR="00140318" w:rsidRPr="00431792" w:rsidRDefault="001B3CA8" w:rsidP="00FC07B9">
      <w:pPr>
        <w:pStyle w:val="ACMACorporateAddresses"/>
        <w:rPr>
          <w:rStyle w:val="Hyperlink"/>
        </w:rPr>
      </w:pPr>
      <w:hyperlink r:id="rId13" w:tooltip="Creative Commons Licenses" w:history="1">
        <w:r w:rsidR="00140318" w:rsidRPr="00431792">
          <w:rPr>
            <w:rStyle w:val="Hyperlink"/>
          </w:rPr>
          <w:t>http://creativecommons.org/licenses/by/3.0/au/</w:t>
        </w:r>
      </w:hyperlink>
    </w:p>
    <w:p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rsidR="00140318" w:rsidRPr="006D46E5" w:rsidRDefault="00C34A05" w:rsidP="00FC07B9">
      <w:pPr>
        <w:pStyle w:val="ACMACorporateAddresses"/>
      </w:pPr>
      <w:r>
        <w:t>We request attribution as</w:t>
      </w:r>
      <w:r w:rsidR="00140318" w:rsidRPr="006D46E5">
        <w:t xml:space="preserve"> © Commonwealth of Australia (Australian Communic</w:t>
      </w:r>
      <w:r w:rsidR="00B6003C">
        <w:t>ations and Media Authority) 2016</w:t>
      </w:r>
      <w:r w:rsidR="00140318" w:rsidRPr="006D46E5">
        <w:t>.</w:t>
      </w:r>
    </w:p>
    <w:p w:rsidR="00140318" w:rsidRPr="006D46E5" w:rsidRDefault="00140318" w:rsidP="00FC07B9">
      <w:pPr>
        <w:pStyle w:val="ACMACorporateAddresses"/>
      </w:pPr>
      <w:r>
        <w:t>All other rights are reserved.</w:t>
      </w:r>
    </w:p>
    <w:p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rsidR="00140318" w:rsidRPr="006D46E5" w:rsidRDefault="00140318" w:rsidP="00FC07B9">
      <w:pPr>
        <w:pStyle w:val="ACMACorporateAddresses"/>
      </w:pPr>
      <w:r w:rsidRPr="006D46E5">
        <w:t>Written enquiries may be sent to:</w:t>
      </w:r>
    </w:p>
    <w:p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 xml:space="preserve">Email: </w:t>
      </w:r>
      <w:hyperlink r:id="rId14" w:history="1">
        <w:r w:rsidRPr="00431792">
          <w:rPr>
            <w:rStyle w:val="Hyperlink"/>
          </w:rPr>
          <w:t>candinfo@acma.gov.au</w:t>
        </w:r>
      </w:hyperlink>
    </w:p>
    <w:p w:rsidR="00D16FE3" w:rsidRDefault="00D16FE3" w:rsidP="00D16FE3">
      <w:pPr>
        <w:pStyle w:val="ACMACorporateAddresses"/>
        <w:rPr>
          <w:rStyle w:val="Hyperlink"/>
        </w:rPr>
      </w:pPr>
    </w:p>
    <w:p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rsidR="001B3277" w:rsidRDefault="007A6CC0">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"1-3" \t "ACMA_ExecSummaryHeading,1" </w:instrText>
      </w:r>
      <w:r>
        <w:rPr>
          <w:rFonts w:cs="Arial"/>
          <w:b w:val="0"/>
        </w:rPr>
        <w:fldChar w:fldCharType="separate"/>
      </w:r>
      <w:r w:rsidR="001B3277">
        <w:t>Introduction</w:t>
      </w:r>
      <w:r w:rsidR="001B3277">
        <w:tab/>
      </w:r>
      <w:r w:rsidR="001B3277">
        <w:fldChar w:fldCharType="begin"/>
      </w:r>
      <w:r w:rsidR="001B3277">
        <w:instrText xml:space="preserve"> PAGEREF _Toc457898832 \h </w:instrText>
      </w:r>
      <w:r w:rsidR="001B3277">
        <w:fldChar w:fldCharType="separate"/>
      </w:r>
      <w:r w:rsidR="001B3277">
        <w:t>1</w:t>
      </w:r>
      <w:r w:rsidR="001B3277">
        <w:fldChar w:fldCharType="end"/>
      </w:r>
    </w:p>
    <w:p w:rsidR="001B3277" w:rsidRDefault="001B3277">
      <w:pPr>
        <w:pStyle w:val="TOC2"/>
        <w:rPr>
          <w:rFonts w:asciiTheme="minorHAnsi" w:eastAsiaTheme="minorEastAsia" w:hAnsiTheme="minorHAnsi" w:cstheme="minorBidi"/>
          <w:spacing w:val="0"/>
          <w:sz w:val="22"/>
          <w:szCs w:val="22"/>
        </w:rPr>
      </w:pPr>
      <w:r>
        <w:t>From the Chair</w:t>
      </w:r>
      <w:r>
        <w:tab/>
      </w:r>
      <w:r>
        <w:fldChar w:fldCharType="begin"/>
      </w:r>
      <w:r>
        <w:instrText xml:space="preserve"> PAGEREF _Toc457898833 \h </w:instrText>
      </w:r>
      <w:r>
        <w:fldChar w:fldCharType="separate"/>
      </w:r>
      <w:r>
        <w:t>1</w:t>
      </w:r>
      <w:r>
        <w:fldChar w:fldCharType="end"/>
      </w:r>
    </w:p>
    <w:p w:rsidR="001B3277" w:rsidRDefault="001B3277">
      <w:pPr>
        <w:pStyle w:val="TOC1"/>
        <w:rPr>
          <w:rFonts w:asciiTheme="minorHAnsi" w:eastAsiaTheme="minorEastAsia" w:hAnsiTheme="minorHAnsi" w:cstheme="minorBidi"/>
          <w:b w:val="0"/>
          <w:spacing w:val="0"/>
          <w:sz w:val="22"/>
          <w:szCs w:val="22"/>
        </w:rPr>
      </w:pPr>
      <w:r>
        <w:t>Purpose</w:t>
      </w:r>
      <w:r>
        <w:tab/>
      </w:r>
      <w:r>
        <w:fldChar w:fldCharType="begin"/>
      </w:r>
      <w:r>
        <w:instrText xml:space="preserve"> PAGEREF _Toc457898834 \h </w:instrText>
      </w:r>
      <w:r>
        <w:fldChar w:fldCharType="separate"/>
      </w:r>
      <w:r>
        <w:t>2</w:t>
      </w:r>
      <w:r>
        <w:fldChar w:fldCharType="end"/>
      </w:r>
    </w:p>
    <w:p w:rsidR="001B3277" w:rsidRDefault="001B3277">
      <w:pPr>
        <w:pStyle w:val="TOC2"/>
        <w:rPr>
          <w:rFonts w:asciiTheme="minorHAnsi" w:eastAsiaTheme="minorEastAsia" w:hAnsiTheme="minorHAnsi" w:cstheme="minorBidi"/>
          <w:spacing w:val="0"/>
          <w:sz w:val="22"/>
          <w:szCs w:val="22"/>
        </w:rPr>
      </w:pPr>
      <w:r>
        <w:t>The ACMA’s purpose</w:t>
      </w:r>
      <w:r>
        <w:tab/>
      </w:r>
      <w:r>
        <w:fldChar w:fldCharType="begin"/>
      </w:r>
      <w:r>
        <w:instrText xml:space="preserve"> PAGEREF _Toc457898835 \h </w:instrText>
      </w:r>
      <w:r>
        <w:fldChar w:fldCharType="separate"/>
      </w:r>
      <w:r>
        <w:t>2</w:t>
      </w:r>
      <w:r>
        <w:fldChar w:fldCharType="end"/>
      </w:r>
    </w:p>
    <w:p w:rsidR="001B3277" w:rsidRDefault="001B3277">
      <w:pPr>
        <w:pStyle w:val="TOC1"/>
        <w:rPr>
          <w:rFonts w:asciiTheme="minorHAnsi" w:eastAsiaTheme="minorEastAsia" w:hAnsiTheme="minorHAnsi" w:cstheme="minorBidi"/>
          <w:b w:val="0"/>
          <w:spacing w:val="0"/>
          <w:sz w:val="22"/>
          <w:szCs w:val="22"/>
        </w:rPr>
      </w:pPr>
      <w:r>
        <w:t>Environment</w:t>
      </w:r>
      <w:r>
        <w:tab/>
      </w:r>
      <w:r>
        <w:fldChar w:fldCharType="begin"/>
      </w:r>
      <w:r>
        <w:instrText xml:space="preserve"> PAGEREF _Toc457898836 \h </w:instrText>
      </w:r>
      <w:r>
        <w:fldChar w:fldCharType="separate"/>
      </w:r>
      <w:r>
        <w:t>3</w:t>
      </w:r>
      <w:r>
        <w:fldChar w:fldCharType="end"/>
      </w:r>
    </w:p>
    <w:p w:rsidR="001B3277" w:rsidRDefault="001B3277">
      <w:pPr>
        <w:pStyle w:val="TOC2"/>
        <w:rPr>
          <w:rFonts w:asciiTheme="minorHAnsi" w:eastAsiaTheme="minorEastAsia" w:hAnsiTheme="minorHAnsi" w:cstheme="minorBidi"/>
          <w:spacing w:val="0"/>
          <w:sz w:val="22"/>
          <w:szCs w:val="22"/>
        </w:rPr>
      </w:pPr>
      <w:r>
        <w:t>The media and communications environment</w:t>
      </w:r>
      <w:r>
        <w:tab/>
      </w:r>
      <w:r>
        <w:fldChar w:fldCharType="begin"/>
      </w:r>
      <w:r>
        <w:instrText xml:space="preserve"> PAGEREF _Toc457898837 \h </w:instrText>
      </w:r>
      <w:r>
        <w:fldChar w:fldCharType="separate"/>
      </w:r>
      <w:r>
        <w:t>3</w:t>
      </w:r>
      <w:r>
        <w:fldChar w:fldCharType="end"/>
      </w:r>
    </w:p>
    <w:p w:rsidR="001B3277" w:rsidRDefault="001B3277">
      <w:pPr>
        <w:pStyle w:val="TOC2"/>
        <w:rPr>
          <w:rFonts w:asciiTheme="minorHAnsi" w:eastAsiaTheme="minorEastAsia" w:hAnsiTheme="minorHAnsi" w:cstheme="minorBidi"/>
          <w:spacing w:val="0"/>
          <w:sz w:val="22"/>
          <w:szCs w:val="22"/>
        </w:rPr>
      </w:pPr>
      <w:r>
        <w:t>The resourcing environment</w:t>
      </w:r>
      <w:r>
        <w:tab/>
      </w:r>
      <w:r>
        <w:fldChar w:fldCharType="begin"/>
      </w:r>
      <w:r>
        <w:instrText xml:space="preserve"> PAGEREF _Toc457898838 \h </w:instrText>
      </w:r>
      <w:r>
        <w:fldChar w:fldCharType="separate"/>
      </w:r>
      <w:r>
        <w:t>4</w:t>
      </w:r>
      <w:r>
        <w:fldChar w:fldCharType="end"/>
      </w:r>
    </w:p>
    <w:p w:rsidR="001B3277" w:rsidRDefault="001B3277">
      <w:pPr>
        <w:pStyle w:val="TOC1"/>
        <w:rPr>
          <w:rFonts w:asciiTheme="minorHAnsi" w:eastAsiaTheme="minorEastAsia" w:hAnsiTheme="minorHAnsi" w:cstheme="minorBidi"/>
          <w:b w:val="0"/>
          <w:spacing w:val="0"/>
          <w:sz w:val="22"/>
          <w:szCs w:val="22"/>
        </w:rPr>
      </w:pPr>
      <w:r>
        <w:t>Performance</w:t>
      </w:r>
      <w:r>
        <w:tab/>
      </w:r>
      <w:r>
        <w:fldChar w:fldCharType="begin"/>
      </w:r>
      <w:r>
        <w:instrText xml:space="preserve"> PAGEREF _Toc457898839 \h </w:instrText>
      </w:r>
      <w:r>
        <w:fldChar w:fldCharType="separate"/>
      </w:r>
      <w:r>
        <w:t>5</w:t>
      </w:r>
      <w:r>
        <w:fldChar w:fldCharType="end"/>
      </w:r>
    </w:p>
    <w:p w:rsidR="001B3277" w:rsidRDefault="001B3277">
      <w:pPr>
        <w:pStyle w:val="TOC2"/>
        <w:rPr>
          <w:rFonts w:asciiTheme="minorHAnsi" w:eastAsiaTheme="minorEastAsia" w:hAnsiTheme="minorHAnsi" w:cstheme="minorBidi"/>
          <w:spacing w:val="0"/>
          <w:sz w:val="22"/>
          <w:szCs w:val="22"/>
        </w:rPr>
      </w:pPr>
      <w:r>
        <w:t>Key Result Areas</w:t>
      </w:r>
      <w:r>
        <w:tab/>
      </w:r>
      <w:r>
        <w:fldChar w:fldCharType="begin"/>
      </w:r>
      <w:r>
        <w:instrText xml:space="preserve"> PAGEREF _Toc457898840 \h </w:instrText>
      </w:r>
      <w:r>
        <w:fldChar w:fldCharType="separate"/>
      </w:r>
      <w:r>
        <w:t>5</w:t>
      </w:r>
      <w:r>
        <w:fldChar w:fldCharType="end"/>
      </w:r>
    </w:p>
    <w:p w:rsidR="001B3277" w:rsidRDefault="001B3277">
      <w:pPr>
        <w:pStyle w:val="TOC2"/>
        <w:rPr>
          <w:rFonts w:asciiTheme="minorHAnsi" w:eastAsiaTheme="minorEastAsia" w:hAnsiTheme="minorHAnsi" w:cstheme="minorBidi"/>
          <w:spacing w:val="0"/>
          <w:sz w:val="22"/>
          <w:szCs w:val="22"/>
        </w:rPr>
      </w:pPr>
      <w:r>
        <w:t>Regulator Performance Framework</w:t>
      </w:r>
      <w:r>
        <w:tab/>
      </w:r>
      <w:r>
        <w:fldChar w:fldCharType="begin"/>
      </w:r>
      <w:r>
        <w:instrText xml:space="preserve"> PAGEREF _Toc457898841 \h </w:instrText>
      </w:r>
      <w:r>
        <w:fldChar w:fldCharType="separate"/>
      </w:r>
      <w:r>
        <w:t>6</w:t>
      </w:r>
      <w:r>
        <w:fldChar w:fldCharType="end"/>
      </w:r>
    </w:p>
    <w:p w:rsidR="001B3277" w:rsidRDefault="001B3277">
      <w:pPr>
        <w:pStyle w:val="TOC2"/>
        <w:rPr>
          <w:rFonts w:asciiTheme="minorHAnsi" w:eastAsiaTheme="minorEastAsia" w:hAnsiTheme="minorHAnsi" w:cstheme="minorBidi"/>
          <w:spacing w:val="0"/>
          <w:sz w:val="22"/>
          <w:szCs w:val="22"/>
        </w:rPr>
      </w:pPr>
      <w:r>
        <w:t>That the planning, allocation and use of public resources maximises their value to the Australian community</w:t>
      </w:r>
      <w:r>
        <w:tab/>
      </w:r>
      <w:r>
        <w:fldChar w:fldCharType="begin"/>
      </w:r>
      <w:r>
        <w:instrText xml:space="preserve"> PAGEREF _Toc457898842 \h </w:instrText>
      </w:r>
      <w:r>
        <w:fldChar w:fldCharType="separate"/>
      </w:r>
      <w:r>
        <w:t>8</w:t>
      </w:r>
      <w:r>
        <w:fldChar w:fldCharType="end"/>
      </w:r>
    </w:p>
    <w:p w:rsidR="001B3277" w:rsidRDefault="001B3277">
      <w:pPr>
        <w:pStyle w:val="TOC3"/>
        <w:rPr>
          <w:rFonts w:asciiTheme="minorHAnsi" w:eastAsiaTheme="minorEastAsia" w:hAnsiTheme="minorHAnsi" w:cstheme="minorBidi"/>
        </w:rPr>
      </w:pPr>
      <w:r>
        <w:t>Priorities</w:t>
      </w:r>
      <w:r>
        <w:tab/>
      </w:r>
      <w:r>
        <w:fldChar w:fldCharType="begin"/>
      </w:r>
      <w:r>
        <w:instrText xml:space="preserve"> PAGEREF _Toc457898843 \h </w:instrText>
      </w:r>
      <w:r>
        <w:fldChar w:fldCharType="separate"/>
      </w:r>
      <w:r>
        <w:t>8</w:t>
      </w:r>
      <w:r>
        <w:fldChar w:fldCharType="end"/>
      </w:r>
    </w:p>
    <w:p w:rsidR="001B3277" w:rsidRDefault="001B3277">
      <w:pPr>
        <w:pStyle w:val="TOC3"/>
        <w:rPr>
          <w:rFonts w:asciiTheme="minorHAnsi" w:eastAsiaTheme="minorEastAsia" w:hAnsiTheme="minorHAnsi" w:cstheme="minorBidi"/>
        </w:rPr>
      </w:pPr>
      <w:r>
        <w:t>Key activities contributing to annual work plan</w:t>
      </w:r>
      <w:r>
        <w:tab/>
      </w:r>
      <w:r>
        <w:fldChar w:fldCharType="begin"/>
      </w:r>
      <w:r>
        <w:instrText xml:space="preserve"> PAGEREF _Toc457898844 \h </w:instrText>
      </w:r>
      <w:r>
        <w:fldChar w:fldCharType="separate"/>
      </w:r>
      <w:r>
        <w:t>8</w:t>
      </w:r>
      <w:r>
        <w:fldChar w:fldCharType="end"/>
      </w:r>
    </w:p>
    <w:p w:rsidR="001B3277" w:rsidRDefault="001B3277">
      <w:pPr>
        <w:pStyle w:val="TOC3"/>
        <w:rPr>
          <w:rFonts w:asciiTheme="minorHAnsi" w:eastAsiaTheme="minorEastAsia" w:hAnsiTheme="minorHAnsi" w:cstheme="minorBidi"/>
        </w:rPr>
      </w:pPr>
      <w:r>
        <w:t>Performance targets</w:t>
      </w:r>
      <w:r>
        <w:tab/>
      </w:r>
      <w:r>
        <w:fldChar w:fldCharType="begin"/>
      </w:r>
      <w:r>
        <w:instrText xml:space="preserve"> PAGEREF _Toc457898845 \h </w:instrText>
      </w:r>
      <w:r>
        <w:fldChar w:fldCharType="separate"/>
      </w:r>
      <w:r>
        <w:t>10</w:t>
      </w:r>
      <w:r>
        <w:fldChar w:fldCharType="end"/>
      </w:r>
    </w:p>
    <w:p w:rsidR="001B3277" w:rsidRDefault="001B3277">
      <w:pPr>
        <w:pStyle w:val="TOC2"/>
        <w:rPr>
          <w:rFonts w:asciiTheme="minorHAnsi" w:eastAsiaTheme="minorEastAsia" w:hAnsiTheme="minorHAnsi" w:cstheme="minorBidi"/>
          <w:spacing w:val="0"/>
          <w:sz w:val="22"/>
          <w:szCs w:val="22"/>
        </w:rPr>
      </w:pPr>
      <w:r>
        <w:t>That consumer, citizen and audience safeguards are effective and reflect community standards; and that national safety and security interests are appropriately supported in their planning and delivery of services</w:t>
      </w:r>
      <w:r>
        <w:tab/>
      </w:r>
      <w:r>
        <w:fldChar w:fldCharType="begin"/>
      </w:r>
      <w:r>
        <w:instrText xml:space="preserve"> PAGEREF _Toc457898846 \h </w:instrText>
      </w:r>
      <w:r>
        <w:fldChar w:fldCharType="separate"/>
      </w:r>
      <w:r>
        <w:t>12</w:t>
      </w:r>
      <w:r>
        <w:fldChar w:fldCharType="end"/>
      </w:r>
    </w:p>
    <w:p w:rsidR="001B3277" w:rsidRDefault="001B3277">
      <w:pPr>
        <w:pStyle w:val="TOC3"/>
        <w:rPr>
          <w:rFonts w:asciiTheme="minorHAnsi" w:eastAsiaTheme="minorEastAsia" w:hAnsiTheme="minorHAnsi" w:cstheme="minorBidi"/>
        </w:rPr>
      </w:pPr>
      <w:r>
        <w:t>Priorities</w:t>
      </w:r>
      <w:r>
        <w:tab/>
      </w:r>
      <w:r>
        <w:fldChar w:fldCharType="begin"/>
      </w:r>
      <w:r>
        <w:instrText xml:space="preserve"> PAGEREF _Toc457898847 \h </w:instrText>
      </w:r>
      <w:r>
        <w:fldChar w:fldCharType="separate"/>
      </w:r>
      <w:r>
        <w:t>12</w:t>
      </w:r>
      <w:r>
        <w:fldChar w:fldCharType="end"/>
      </w:r>
    </w:p>
    <w:p w:rsidR="001B3277" w:rsidRDefault="001B3277">
      <w:pPr>
        <w:pStyle w:val="TOC3"/>
        <w:rPr>
          <w:rFonts w:asciiTheme="minorHAnsi" w:eastAsiaTheme="minorEastAsia" w:hAnsiTheme="minorHAnsi" w:cstheme="minorBidi"/>
        </w:rPr>
      </w:pPr>
      <w:r>
        <w:t>Key activities contributing to annual work plan</w:t>
      </w:r>
      <w:r>
        <w:tab/>
      </w:r>
      <w:r>
        <w:fldChar w:fldCharType="begin"/>
      </w:r>
      <w:r>
        <w:instrText xml:space="preserve"> PAGEREF _Toc457898848 \h </w:instrText>
      </w:r>
      <w:r>
        <w:fldChar w:fldCharType="separate"/>
      </w:r>
      <w:r>
        <w:t>12</w:t>
      </w:r>
      <w:r>
        <w:fldChar w:fldCharType="end"/>
      </w:r>
    </w:p>
    <w:p w:rsidR="001B3277" w:rsidRDefault="001B3277">
      <w:pPr>
        <w:pStyle w:val="TOC3"/>
        <w:rPr>
          <w:rFonts w:asciiTheme="minorHAnsi" w:eastAsiaTheme="minorEastAsia" w:hAnsiTheme="minorHAnsi" w:cstheme="minorBidi"/>
        </w:rPr>
      </w:pPr>
      <w:r>
        <w:t>Performance targets</w:t>
      </w:r>
      <w:r>
        <w:tab/>
      </w:r>
      <w:r>
        <w:fldChar w:fldCharType="begin"/>
      </w:r>
      <w:r>
        <w:instrText xml:space="preserve"> PAGEREF _Toc457898849 \h </w:instrText>
      </w:r>
      <w:r>
        <w:fldChar w:fldCharType="separate"/>
      </w:r>
      <w:r>
        <w:t>14</w:t>
      </w:r>
      <w:r>
        <w:fldChar w:fldCharType="end"/>
      </w:r>
    </w:p>
    <w:p w:rsidR="001B3277" w:rsidRDefault="001B3277">
      <w:pPr>
        <w:pStyle w:val="TOC2"/>
        <w:rPr>
          <w:rFonts w:asciiTheme="minorHAnsi" w:eastAsiaTheme="minorEastAsia" w:hAnsiTheme="minorHAnsi" w:cstheme="minorBidi"/>
          <w:spacing w:val="0"/>
          <w:sz w:val="22"/>
          <w:szCs w:val="22"/>
        </w:rPr>
      </w:pPr>
      <w:r>
        <w:t>That the ACMA is a resilient, agile, efficient and knowledge-based organisation; and that regulatory settings are efficient, effective and evidence-informed</w:t>
      </w:r>
      <w:r>
        <w:tab/>
      </w:r>
      <w:r>
        <w:fldChar w:fldCharType="begin"/>
      </w:r>
      <w:r>
        <w:instrText xml:space="preserve"> PAGEREF _Toc457898850 \h </w:instrText>
      </w:r>
      <w:r>
        <w:fldChar w:fldCharType="separate"/>
      </w:r>
      <w:r>
        <w:t>16</w:t>
      </w:r>
      <w:r>
        <w:fldChar w:fldCharType="end"/>
      </w:r>
    </w:p>
    <w:p w:rsidR="001B3277" w:rsidRDefault="001B3277">
      <w:pPr>
        <w:pStyle w:val="TOC3"/>
        <w:rPr>
          <w:rFonts w:asciiTheme="minorHAnsi" w:eastAsiaTheme="minorEastAsia" w:hAnsiTheme="minorHAnsi" w:cstheme="minorBidi"/>
        </w:rPr>
      </w:pPr>
      <w:r>
        <w:t>Priorities</w:t>
      </w:r>
      <w:r>
        <w:tab/>
      </w:r>
      <w:r>
        <w:fldChar w:fldCharType="begin"/>
      </w:r>
      <w:r>
        <w:instrText xml:space="preserve"> PAGEREF _Toc457898851 \h </w:instrText>
      </w:r>
      <w:r>
        <w:fldChar w:fldCharType="separate"/>
      </w:r>
      <w:r>
        <w:t>16</w:t>
      </w:r>
      <w:r>
        <w:fldChar w:fldCharType="end"/>
      </w:r>
    </w:p>
    <w:p w:rsidR="001B3277" w:rsidRDefault="001B3277">
      <w:pPr>
        <w:pStyle w:val="TOC3"/>
        <w:rPr>
          <w:rFonts w:asciiTheme="minorHAnsi" w:eastAsiaTheme="minorEastAsia" w:hAnsiTheme="minorHAnsi" w:cstheme="minorBidi"/>
        </w:rPr>
      </w:pPr>
      <w:r>
        <w:t>Key activities contributing to annual work plan</w:t>
      </w:r>
      <w:r>
        <w:tab/>
      </w:r>
      <w:r>
        <w:fldChar w:fldCharType="begin"/>
      </w:r>
      <w:r>
        <w:instrText xml:space="preserve"> PAGEREF _Toc457898852 \h </w:instrText>
      </w:r>
      <w:r>
        <w:fldChar w:fldCharType="separate"/>
      </w:r>
      <w:r>
        <w:t>16</w:t>
      </w:r>
      <w:r>
        <w:fldChar w:fldCharType="end"/>
      </w:r>
    </w:p>
    <w:p w:rsidR="001B3277" w:rsidRDefault="001B3277">
      <w:pPr>
        <w:pStyle w:val="TOC3"/>
        <w:rPr>
          <w:rFonts w:asciiTheme="minorHAnsi" w:eastAsiaTheme="minorEastAsia" w:hAnsiTheme="minorHAnsi" w:cstheme="minorBidi"/>
        </w:rPr>
      </w:pPr>
      <w:r>
        <w:t>Performance targets</w:t>
      </w:r>
      <w:r>
        <w:tab/>
      </w:r>
      <w:r>
        <w:fldChar w:fldCharType="begin"/>
      </w:r>
      <w:r>
        <w:instrText xml:space="preserve"> PAGEREF _Toc457898853 \h </w:instrText>
      </w:r>
      <w:r>
        <w:fldChar w:fldCharType="separate"/>
      </w:r>
      <w:r>
        <w:t>18</w:t>
      </w:r>
      <w:r>
        <w:fldChar w:fldCharType="end"/>
      </w:r>
    </w:p>
    <w:p w:rsidR="001B3277" w:rsidRDefault="001B3277">
      <w:pPr>
        <w:pStyle w:val="TOC1"/>
        <w:rPr>
          <w:rFonts w:asciiTheme="minorHAnsi" w:eastAsiaTheme="minorEastAsia" w:hAnsiTheme="minorHAnsi" w:cstheme="minorBidi"/>
          <w:b w:val="0"/>
          <w:spacing w:val="0"/>
          <w:sz w:val="22"/>
          <w:szCs w:val="22"/>
        </w:rPr>
      </w:pPr>
      <w:r>
        <w:t>Capability</w:t>
      </w:r>
      <w:r>
        <w:tab/>
      </w:r>
      <w:r>
        <w:fldChar w:fldCharType="begin"/>
      </w:r>
      <w:r>
        <w:instrText xml:space="preserve"> PAGEREF _Toc457898854 \h </w:instrText>
      </w:r>
      <w:r>
        <w:fldChar w:fldCharType="separate"/>
      </w:r>
      <w:r>
        <w:t>21</w:t>
      </w:r>
      <w:r>
        <w:fldChar w:fldCharType="end"/>
      </w:r>
    </w:p>
    <w:p w:rsidR="001B3277" w:rsidRDefault="001B3277">
      <w:pPr>
        <w:pStyle w:val="TOC2"/>
        <w:rPr>
          <w:rFonts w:asciiTheme="minorHAnsi" w:eastAsiaTheme="minorEastAsia" w:hAnsiTheme="minorHAnsi" w:cstheme="minorBidi"/>
          <w:spacing w:val="0"/>
          <w:sz w:val="22"/>
          <w:szCs w:val="22"/>
        </w:rPr>
      </w:pPr>
      <w:r>
        <w:t>Workforce planning</w:t>
      </w:r>
      <w:r>
        <w:tab/>
      </w:r>
      <w:r>
        <w:fldChar w:fldCharType="begin"/>
      </w:r>
      <w:r>
        <w:instrText xml:space="preserve"> PAGEREF _Toc457898855 \h </w:instrText>
      </w:r>
      <w:r>
        <w:fldChar w:fldCharType="separate"/>
      </w:r>
      <w:r>
        <w:t>21</w:t>
      </w:r>
      <w:r>
        <w:fldChar w:fldCharType="end"/>
      </w:r>
    </w:p>
    <w:p w:rsidR="001B3277" w:rsidRDefault="001B3277">
      <w:pPr>
        <w:pStyle w:val="TOC2"/>
        <w:rPr>
          <w:rFonts w:asciiTheme="minorHAnsi" w:eastAsiaTheme="minorEastAsia" w:hAnsiTheme="minorHAnsi" w:cstheme="minorBidi"/>
          <w:spacing w:val="0"/>
          <w:sz w:val="22"/>
          <w:szCs w:val="22"/>
        </w:rPr>
      </w:pPr>
      <w:r>
        <w:t>Capital investment strategy</w:t>
      </w:r>
      <w:r>
        <w:tab/>
      </w:r>
      <w:r>
        <w:fldChar w:fldCharType="begin"/>
      </w:r>
      <w:r>
        <w:instrText xml:space="preserve"> PAGEREF _Toc457898856 \h </w:instrText>
      </w:r>
      <w:r>
        <w:fldChar w:fldCharType="separate"/>
      </w:r>
      <w:r>
        <w:t>22</w:t>
      </w:r>
      <w:r>
        <w:fldChar w:fldCharType="end"/>
      </w:r>
    </w:p>
    <w:p w:rsidR="001B3277" w:rsidRDefault="001B3277">
      <w:pPr>
        <w:pStyle w:val="TOC2"/>
        <w:rPr>
          <w:rFonts w:asciiTheme="minorHAnsi" w:eastAsiaTheme="minorEastAsia" w:hAnsiTheme="minorHAnsi" w:cstheme="minorBidi"/>
          <w:spacing w:val="0"/>
          <w:sz w:val="22"/>
          <w:szCs w:val="22"/>
        </w:rPr>
      </w:pPr>
      <w:r>
        <w:lastRenderedPageBreak/>
        <w:t>ICT capability</w:t>
      </w:r>
      <w:r>
        <w:tab/>
      </w:r>
      <w:r>
        <w:fldChar w:fldCharType="begin"/>
      </w:r>
      <w:r>
        <w:instrText xml:space="preserve"> PAGEREF _Toc457898857 \h </w:instrText>
      </w:r>
      <w:r>
        <w:fldChar w:fldCharType="separate"/>
      </w:r>
      <w:r>
        <w:t>23</w:t>
      </w:r>
      <w:r>
        <w:fldChar w:fldCharType="end"/>
      </w:r>
    </w:p>
    <w:p w:rsidR="001B3277" w:rsidRDefault="001B3277">
      <w:pPr>
        <w:pStyle w:val="TOC1"/>
        <w:rPr>
          <w:rFonts w:asciiTheme="minorHAnsi" w:eastAsiaTheme="minorEastAsia" w:hAnsiTheme="minorHAnsi" w:cstheme="minorBidi"/>
          <w:b w:val="0"/>
          <w:spacing w:val="0"/>
          <w:sz w:val="22"/>
          <w:szCs w:val="22"/>
        </w:rPr>
      </w:pPr>
      <w:r>
        <w:t>Risk appetite and management</w:t>
      </w:r>
      <w:r>
        <w:tab/>
      </w:r>
      <w:r>
        <w:fldChar w:fldCharType="begin"/>
      </w:r>
      <w:r>
        <w:instrText xml:space="preserve"> PAGEREF _Toc457898858 \h </w:instrText>
      </w:r>
      <w:r>
        <w:fldChar w:fldCharType="separate"/>
      </w:r>
      <w:r>
        <w:t>24</w:t>
      </w:r>
      <w:r>
        <w:fldChar w:fldCharType="end"/>
      </w:r>
    </w:p>
    <w:p w:rsidR="001B3277" w:rsidRDefault="001B3277">
      <w:pPr>
        <w:pStyle w:val="TOC2"/>
        <w:rPr>
          <w:rFonts w:asciiTheme="minorHAnsi" w:eastAsiaTheme="minorEastAsia" w:hAnsiTheme="minorHAnsi" w:cstheme="minorBidi"/>
          <w:spacing w:val="0"/>
          <w:sz w:val="22"/>
          <w:szCs w:val="22"/>
        </w:rPr>
      </w:pPr>
      <w:r>
        <w:t>ACMA risk management approach</w:t>
      </w:r>
      <w:r>
        <w:tab/>
      </w:r>
      <w:r>
        <w:fldChar w:fldCharType="begin"/>
      </w:r>
      <w:r>
        <w:instrText xml:space="preserve"> PAGEREF _Toc457898859 \h </w:instrText>
      </w:r>
      <w:r>
        <w:fldChar w:fldCharType="separate"/>
      </w:r>
      <w:r>
        <w:t>24</w:t>
      </w:r>
      <w:r>
        <w:fldChar w:fldCharType="end"/>
      </w:r>
    </w:p>
    <w:p w:rsidR="001B3277" w:rsidRDefault="001B3277">
      <w:pPr>
        <w:pStyle w:val="TOC3"/>
        <w:rPr>
          <w:rFonts w:asciiTheme="minorHAnsi" w:eastAsiaTheme="minorEastAsia" w:hAnsiTheme="minorHAnsi" w:cstheme="minorBidi"/>
        </w:rPr>
      </w:pPr>
      <w:r>
        <w:t>Strategic risks</w:t>
      </w:r>
      <w:r>
        <w:tab/>
      </w:r>
      <w:r>
        <w:fldChar w:fldCharType="begin"/>
      </w:r>
      <w:r>
        <w:instrText xml:space="preserve"> PAGEREF _Toc457898860 \h </w:instrText>
      </w:r>
      <w:r>
        <w:fldChar w:fldCharType="separate"/>
      </w:r>
      <w:r>
        <w:t>24</w:t>
      </w:r>
      <w:r>
        <w:fldChar w:fldCharType="end"/>
      </w:r>
    </w:p>
    <w:p w:rsidR="001B3277" w:rsidRDefault="001B3277">
      <w:pPr>
        <w:pStyle w:val="TOC1"/>
        <w:rPr>
          <w:rFonts w:asciiTheme="minorHAnsi" w:eastAsiaTheme="minorEastAsia" w:hAnsiTheme="minorHAnsi" w:cstheme="minorBidi"/>
          <w:b w:val="0"/>
          <w:spacing w:val="0"/>
          <w:sz w:val="22"/>
          <w:szCs w:val="22"/>
        </w:rPr>
      </w:pPr>
      <w:r>
        <w:t>Feedback</w:t>
      </w:r>
      <w:r>
        <w:tab/>
      </w:r>
      <w:r>
        <w:fldChar w:fldCharType="begin"/>
      </w:r>
      <w:r>
        <w:instrText xml:space="preserve"> PAGEREF _Toc457898861 \h </w:instrText>
      </w:r>
      <w:r>
        <w:fldChar w:fldCharType="separate"/>
      </w:r>
      <w:r>
        <w:t>26</w:t>
      </w:r>
      <w:r>
        <w:fldChar w:fldCharType="end"/>
      </w:r>
    </w:p>
    <w:p w:rsidR="000A4A51" w:rsidRPr="000D76E0" w:rsidRDefault="007A6CC0">
      <w:pPr>
        <w:rPr>
          <w:rFonts w:cs="Arial"/>
        </w:rPr>
      </w:pPr>
      <w:r>
        <w:rPr>
          <w:rFonts w:cs="Arial"/>
          <w:b/>
          <w:noProof/>
          <w:spacing w:val="-14"/>
          <w:sz w:val="28"/>
        </w:rPr>
        <w:fldChar w:fldCharType="end"/>
      </w:r>
    </w:p>
    <w:p w:rsidR="004D56FF" w:rsidRPr="000D76E0" w:rsidRDefault="004D56FF">
      <w:pPr>
        <w:rPr>
          <w:rFonts w:cs="Arial"/>
        </w:rPr>
        <w:sectPr w:rsidR="004D56FF" w:rsidRPr="000D76E0"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p>
    <w:p w:rsidR="009D6C71" w:rsidRPr="009174F3" w:rsidRDefault="001F1A7A" w:rsidP="009174F3">
      <w:pPr>
        <w:pStyle w:val="ACMAExecSummaryHeading"/>
      </w:pPr>
      <w:bookmarkStart w:id="0" w:name="_Toc457898832"/>
      <w:r>
        <w:lastRenderedPageBreak/>
        <w:t>Introduction</w:t>
      </w:r>
      <w:bookmarkEnd w:id="0"/>
    </w:p>
    <w:p w:rsidR="001F1A7A" w:rsidRPr="00D7290A" w:rsidRDefault="001F1A7A" w:rsidP="001F1A7A">
      <w:pPr>
        <w:pStyle w:val="Heading2"/>
      </w:pPr>
      <w:bookmarkStart w:id="1" w:name="_Toc453828779"/>
      <w:bookmarkStart w:id="2" w:name="_Toc457898833"/>
      <w:r w:rsidRPr="001F1A7A">
        <w:t>From</w:t>
      </w:r>
      <w:r w:rsidRPr="00D7290A">
        <w:t xml:space="preserve"> the Chair</w:t>
      </w:r>
      <w:bookmarkEnd w:id="1"/>
      <w:bookmarkEnd w:id="2"/>
    </w:p>
    <w:p w:rsidR="001F1A7A" w:rsidRDefault="001F1A7A" w:rsidP="001F1A7A">
      <w:r>
        <w:t xml:space="preserve">I, </w:t>
      </w:r>
      <w:r w:rsidRPr="00A3467B">
        <w:t>Richard Bean</w:t>
      </w:r>
      <w:r>
        <w:t xml:space="preserve">, the accountable authority for the Australian Communications and Media Authority (ACMA), present this corporate plan, which has been prepared consistent with paragraph 35(1) (b) of the </w:t>
      </w:r>
      <w:r w:rsidRPr="00314B71">
        <w:rPr>
          <w:i/>
        </w:rPr>
        <w:t>Public Governance, Performance and Accountability Act</w:t>
      </w:r>
      <w:r>
        <w:rPr>
          <w:i/>
        </w:rPr>
        <w:t> </w:t>
      </w:r>
      <w:r w:rsidRPr="00314B71">
        <w:rPr>
          <w:i/>
        </w:rPr>
        <w:t>2013</w:t>
      </w:r>
      <w:r>
        <w:t xml:space="preserve"> (</w:t>
      </w:r>
      <w:proofErr w:type="spellStart"/>
      <w:r>
        <w:t>PGPA</w:t>
      </w:r>
      <w:proofErr w:type="spellEnd"/>
      <w:r>
        <w:t xml:space="preserve"> Act) and section 56 of the </w:t>
      </w:r>
      <w:r w:rsidRPr="00314B71">
        <w:rPr>
          <w:i/>
        </w:rPr>
        <w:t>Australian Communications and Media Authority Act 2005</w:t>
      </w:r>
      <w:r>
        <w:t xml:space="preserve">. </w:t>
      </w:r>
    </w:p>
    <w:p w:rsidR="001F1A7A" w:rsidRDefault="001F1A7A" w:rsidP="001F1A7A">
      <w:r>
        <w:t xml:space="preserve">The reporting period of the corporate plan is four years, spanning 2016–17 to 2019–20. </w:t>
      </w:r>
    </w:p>
    <w:p w:rsidR="001F1A7A" w:rsidRPr="007D0CE5" w:rsidRDefault="001F1A7A" w:rsidP="001F1A7A">
      <w:r>
        <w:t>As Australia’s sector regulator for communications and media, t</w:t>
      </w:r>
      <w:r w:rsidRPr="007D0CE5">
        <w:t>he A</w:t>
      </w:r>
      <w:r>
        <w:t xml:space="preserve">CMA’s purpose is </w:t>
      </w:r>
      <w:r w:rsidR="000D05F3">
        <w:t>to make</w:t>
      </w:r>
      <w:r>
        <w:t xml:space="preserve"> communications and media work in Australia’s public interest. </w:t>
      </w:r>
      <w:r w:rsidRPr="007D0CE5">
        <w:t xml:space="preserve">Because communications is an enabling technology that underpins many of the digital innovations occurring in Australia, </w:t>
      </w:r>
      <w:r>
        <w:t xml:space="preserve">over the life of this corporate plan </w:t>
      </w:r>
      <w:r w:rsidRPr="007D0CE5">
        <w:t>the ACMA</w:t>
      </w:r>
      <w:r>
        <w:t xml:space="preserve"> is </w:t>
      </w:r>
      <w:r w:rsidRPr="007D0CE5">
        <w:t>focused on how regulation can support innovation</w:t>
      </w:r>
      <w:r w:rsidR="00CB1F64">
        <w:t>,</w:t>
      </w:r>
      <w:r w:rsidRPr="007D0CE5">
        <w:t xml:space="preserve"> as well as respond to the disruptive effects of changing digital communications </w:t>
      </w:r>
      <w:r>
        <w:t xml:space="preserve">and content business models and </w:t>
      </w:r>
      <w:r w:rsidRPr="007D0CE5">
        <w:t>practices</w:t>
      </w:r>
      <w:r>
        <w:t xml:space="preserve"> for industry, consumers and citizens</w:t>
      </w:r>
      <w:r w:rsidRPr="007D0CE5">
        <w:t xml:space="preserve">. </w:t>
      </w:r>
    </w:p>
    <w:p w:rsidR="001F1A7A" w:rsidRDefault="001F1A7A" w:rsidP="001F1A7A">
      <w:r>
        <w:t>Further challenges in the ACMA’s operating environment are expected over the corporate plan reporting</w:t>
      </w:r>
      <w:r w:rsidR="000D05F3">
        <w:t xml:space="preserve"> </w:t>
      </w:r>
      <w:r>
        <w:t xml:space="preserve">period as significant regulatory reform and policy review processes are implemented, arising from the Spectrum Review recommendations and outcomes from the </w:t>
      </w:r>
      <w:r w:rsidR="00F03DC3">
        <w:t>r</w:t>
      </w:r>
      <w:r>
        <w:t xml:space="preserve">eview of the ACMA.  </w:t>
      </w:r>
    </w:p>
    <w:p w:rsidR="001F1A7A" w:rsidRPr="00761873" w:rsidRDefault="001F1A7A" w:rsidP="00C23BF9">
      <w:pPr>
        <w:spacing w:after="480"/>
      </w:pPr>
      <w:r>
        <w:t xml:space="preserve">Across the four-year work program outlined in this corporate plan, the ACMA </w:t>
      </w:r>
      <w:r w:rsidR="004270DE">
        <w:t xml:space="preserve">will continue </w:t>
      </w:r>
      <w:r>
        <w:t xml:space="preserve">to refine its performance criteria. </w:t>
      </w:r>
      <w:r w:rsidR="00B57BA6">
        <w:t>C</w:t>
      </w:r>
      <w:r w:rsidR="000D05F3">
        <w:t xml:space="preserve">entral </w:t>
      </w:r>
      <w:r w:rsidR="00B57BA6">
        <w:t>to this is</w:t>
      </w:r>
      <w:r>
        <w:t xml:space="preserve"> </w:t>
      </w:r>
      <w:r>
        <w:rPr>
          <w:lang w:val="en-US"/>
        </w:rPr>
        <w:t>the</w:t>
      </w:r>
      <w:r w:rsidRPr="003523BA">
        <w:t xml:space="preserve"> </w:t>
      </w:r>
      <w:r>
        <w:t>development of a broader s</w:t>
      </w:r>
      <w:r w:rsidR="000D05F3">
        <w:t>et</w:t>
      </w:r>
      <w:r>
        <w:t xml:space="preserve"> of quantitative and qualitative performance metrics</w:t>
      </w:r>
      <w:r w:rsidR="00B57BA6">
        <w:t>,</w:t>
      </w:r>
      <w:r>
        <w:t xml:space="preserve"> which are integrated with the performance data requirements needed to support the Regulator Performance Framework assessments and are intended to achieve a more consistent and coherent approach across these various reporting mechanisms.</w:t>
      </w:r>
      <w:r w:rsidRPr="000B5F47">
        <w:rPr>
          <w:lang w:val="en-US"/>
        </w:rPr>
        <w:t xml:space="preserve"> This </w:t>
      </w:r>
      <w:r>
        <w:rPr>
          <w:lang w:val="en-US"/>
        </w:rPr>
        <w:t xml:space="preserve">will enable </w:t>
      </w:r>
      <w:r w:rsidRPr="000B5F47">
        <w:rPr>
          <w:lang w:val="en-US"/>
        </w:rPr>
        <w:t xml:space="preserve">the ACMA to better demonstrate the contribution of </w:t>
      </w:r>
      <w:r>
        <w:rPr>
          <w:lang w:val="en-US"/>
        </w:rPr>
        <w:t xml:space="preserve">its </w:t>
      </w:r>
      <w:r w:rsidRPr="000B5F47">
        <w:rPr>
          <w:lang w:val="en-US"/>
        </w:rPr>
        <w:t>pr</w:t>
      </w:r>
      <w:r>
        <w:rPr>
          <w:lang w:val="en-US"/>
        </w:rPr>
        <w:t xml:space="preserve">ojects and activities </w:t>
      </w:r>
      <w:r w:rsidR="000D05F3">
        <w:rPr>
          <w:lang w:val="en-US"/>
        </w:rPr>
        <w:t>to achieving</w:t>
      </w:r>
      <w:r>
        <w:rPr>
          <w:lang w:val="en-US"/>
        </w:rPr>
        <w:t xml:space="preserve"> longer-</w:t>
      </w:r>
      <w:r w:rsidRPr="000B5F47">
        <w:rPr>
          <w:lang w:val="en-US"/>
        </w:rPr>
        <w:t xml:space="preserve">term </w:t>
      </w:r>
      <w:r w:rsidR="000D05F3">
        <w:rPr>
          <w:lang w:val="en-US"/>
        </w:rPr>
        <w:t>results</w:t>
      </w:r>
      <w:r w:rsidRPr="000B5F47">
        <w:rPr>
          <w:lang w:val="en-US"/>
        </w:rPr>
        <w:t xml:space="preserve">. </w:t>
      </w:r>
      <w:r>
        <w:t xml:space="preserve">Finally, the revised reporting structure allows for better alignment between the agency’s Portfolio Budget Statement, corporate plan and </w:t>
      </w:r>
      <w:r w:rsidR="00B57BA6">
        <w:t>annual performance s</w:t>
      </w:r>
      <w:r>
        <w:t xml:space="preserve">tatement. </w:t>
      </w:r>
    </w:p>
    <w:p w:rsidR="001F1A7A" w:rsidRDefault="001F1A7A" w:rsidP="00C43294">
      <w:pPr>
        <w:spacing w:after="0"/>
      </w:pPr>
      <w:r>
        <w:t>Richard Bean</w:t>
      </w:r>
    </w:p>
    <w:p w:rsidR="001F1A7A" w:rsidRDefault="001F1A7A" w:rsidP="001F1A7A">
      <w:pPr>
        <w:rPr>
          <w:b/>
        </w:rPr>
      </w:pPr>
      <w:r w:rsidRPr="00E0143C">
        <w:rPr>
          <w:b/>
        </w:rPr>
        <w:t>Acting Chairman</w:t>
      </w:r>
    </w:p>
    <w:p w:rsidR="001F1A7A" w:rsidRDefault="001F1A7A" w:rsidP="001F1A7A">
      <w:pPr>
        <w:pStyle w:val="Heading1"/>
      </w:pPr>
      <w:bookmarkStart w:id="3" w:name="_Toc453828780"/>
      <w:bookmarkStart w:id="4" w:name="_Toc457898834"/>
      <w:r w:rsidRPr="00BC52DE">
        <w:lastRenderedPageBreak/>
        <w:t>Purpose</w:t>
      </w:r>
      <w:bookmarkEnd w:id="3"/>
      <w:bookmarkEnd w:id="4"/>
    </w:p>
    <w:p w:rsidR="001F1A7A" w:rsidRDefault="001F1A7A" w:rsidP="001F1A7A">
      <w:r>
        <w:t xml:space="preserve">The ACMA, a statutory authority within the federal government portfolio of Communications and the Arts, operates as a non-corporate Commonwealth entity subject to the requirements of the </w:t>
      </w:r>
      <w:r w:rsidRPr="00314B71">
        <w:rPr>
          <w:i/>
        </w:rPr>
        <w:t>Public Governance, Performance and Accountability Act 2013</w:t>
      </w:r>
      <w:r>
        <w:rPr>
          <w:i/>
        </w:rPr>
        <w:t xml:space="preserve"> </w:t>
      </w:r>
      <w:r w:rsidRPr="0078114B">
        <w:t>(</w:t>
      </w:r>
      <w:proofErr w:type="spellStart"/>
      <w:r w:rsidRPr="0078114B">
        <w:t>PGPA</w:t>
      </w:r>
      <w:proofErr w:type="spellEnd"/>
      <w:r w:rsidRPr="0078114B">
        <w:t xml:space="preserve"> Act)</w:t>
      </w:r>
      <w:r w:rsidRPr="00B25C12">
        <w:t>.</w:t>
      </w:r>
    </w:p>
    <w:p w:rsidR="001F1A7A" w:rsidRPr="00D7290A" w:rsidRDefault="001F1A7A" w:rsidP="00030495">
      <w:pPr>
        <w:pStyle w:val="Heading2"/>
      </w:pPr>
      <w:bookmarkStart w:id="5" w:name="_Toc457898835"/>
      <w:r>
        <w:t xml:space="preserve">The ACMA’s </w:t>
      </w:r>
      <w:r w:rsidRPr="00BC52DE">
        <w:t>purpose</w:t>
      </w:r>
      <w:bookmarkEnd w:id="5"/>
    </w:p>
    <w:p w:rsidR="001F1A7A" w:rsidRPr="00D7290A" w:rsidRDefault="001F1A7A" w:rsidP="00DF769C">
      <w:pPr>
        <w:rPr>
          <w:b/>
          <w:i/>
          <w:szCs w:val="20"/>
        </w:rPr>
      </w:pPr>
      <w:r w:rsidRPr="00DF769C">
        <w:rPr>
          <w:b/>
          <w:i/>
          <w:szCs w:val="20"/>
        </w:rPr>
        <w:t>Making communications and media work in Australia’s public interest.</w:t>
      </w:r>
    </w:p>
    <w:p w:rsidR="001F1A7A" w:rsidRDefault="001F1A7A" w:rsidP="001F1A7A">
      <w:r>
        <w:t xml:space="preserve">The ACMA’s purpose </w:t>
      </w:r>
      <w:r w:rsidRPr="00D82B05">
        <w:t>is achieved by fostering a communications and media environment that balances the needs of industry and the Australian community through education and advice</w:t>
      </w:r>
      <w:r>
        <w:t>, facilitation of access to resources, and regulation</w:t>
      </w:r>
      <w:r w:rsidRPr="00D82B05">
        <w:t>.</w:t>
      </w:r>
      <w:r>
        <w:t xml:space="preserve"> By working closely with stakeholders in the context of the legislated regulatory framework to safeguard the public interest, address the broad concerns of the community and meet the needs of industry for access to public resources like spectrum, the ACMA supports and encourages an innovative communications and media sector.</w:t>
      </w:r>
      <w:r w:rsidRPr="00BC5382">
        <w:t xml:space="preserve"> </w:t>
      </w:r>
      <w:r>
        <w:t>Where intervention is required, the ACMA aims to deliver these outcomes with the lowest cost</w:t>
      </w:r>
      <w:r w:rsidR="004270DE">
        <w:t xml:space="preserve"> and </w:t>
      </w:r>
      <w:r>
        <w:t>most effective measure to manage risks and protect the public interest.</w:t>
      </w:r>
    </w:p>
    <w:p w:rsidR="001F1A7A" w:rsidRDefault="001F1A7A" w:rsidP="00030495">
      <w:pPr>
        <w:spacing w:after="80"/>
      </w:pPr>
      <w:r>
        <w:t xml:space="preserve">The regulatory functions of the ACMA are set out in the </w:t>
      </w:r>
      <w:r w:rsidRPr="00314B71">
        <w:rPr>
          <w:i/>
        </w:rPr>
        <w:t>Australian Communications and Media Authority Act 2005</w:t>
      </w:r>
      <w:r>
        <w:t xml:space="preserve">. The ACMA is responsible for the regulation of broadcasting, </w:t>
      </w:r>
      <w:proofErr w:type="spellStart"/>
      <w:r>
        <w:t>radiocommunications</w:t>
      </w:r>
      <w:proofErr w:type="spellEnd"/>
      <w:r>
        <w:t>, telecommunications and online content in accordance with:</w:t>
      </w:r>
    </w:p>
    <w:p w:rsidR="001F1A7A" w:rsidRPr="008632F6" w:rsidRDefault="001F1A7A" w:rsidP="001F1A7A">
      <w:pPr>
        <w:pStyle w:val="ListBullet"/>
      </w:pPr>
      <w:r w:rsidRPr="008632F6">
        <w:t xml:space="preserve">the </w:t>
      </w:r>
      <w:r w:rsidRPr="00030495">
        <w:rPr>
          <w:i/>
        </w:rPr>
        <w:t>Australian Communications and Media Authority Act 2005</w:t>
      </w:r>
      <w:r w:rsidRPr="008632F6">
        <w:t xml:space="preserve"> </w:t>
      </w:r>
    </w:p>
    <w:p w:rsidR="001F1A7A" w:rsidRPr="008632F6" w:rsidRDefault="001F1A7A" w:rsidP="001F1A7A">
      <w:pPr>
        <w:pStyle w:val="ListBullet"/>
      </w:pPr>
      <w:r w:rsidRPr="008632F6">
        <w:t xml:space="preserve">the </w:t>
      </w:r>
      <w:r w:rsidRPr="00030495">
        <w:rPr>
          <w:i/>
        </w:rPr>
        <w:t>Broadcasting Services Act 1992</w:t>
      </w:r>
      <w:r w:rsidRPr="008632F6">
        <w:t xml:space="preserve"> </w:t>
      </w:r>
    </w:p>
    <w:p w:rsidR="001F1A7A" w:rsidRPr="008632F6" w:rsidRDefault="001F1A7A" w:rsidP="001F1A7A">
      <w:pPr>
        <w:pStyle w:val="ListBullet"/>
      </w:pPr>
      <w:r w:rsidRPr="008632F6">
        <w:t xml:space="preserve">the </w:t>
      </w:r>
      <w:proofErr w:type="spellStart"/>
      <w:r w:rsidRPr="00030495">
        <w:rPr>
          <w:i/>
        </w:rPr>
        <w:t>Radiocommunications</w:t>
      </w:r>
      <w:proofErr w:type="spellEnd"/>
      <w:r w:rsidRPr="00030495">
        <w:rPr>
          <w:i/>
        </w:rPr>
        <w:t xml:space="preserve"> Act 1992</w:t>
      </w:r>
      <w:r w:rsidRPr="008632F6">
        <w:t xml:space="preserve"> </w:t>
      </w:r>
    </w:p>
    <w:p w:rsidR="001F1A7A" w:rsidRPr="008632F6" w:rsidRDefault="001F1A7A" w:rsidP="001F1A7A">
      <w:pPr>
        <w:pStyle w:val="ListBullet"/>
      </w:pPr>
      <w:r w:rsidRPr="008632F6">
        <w:t xml:space="preserve">the </w:t>
      </w:r>
      <w:r w:rsidRPr="00030495">
        <w:rPr>
          <w:i/>
        </w:rPr>
        <w:t>Telecommunications Act 1997</w:t>
      </w:r>
      <w:r w:rsidRPr="008632F6">
        <w:t xml:space="preserve"> </w:t>
      </w:r>
    </w:p>
    <w:p w:rsidR="001F1A7A" w:rsidRPr="008632F6" w:rsidRDefault="001F1A7A" w:rsidP="001F1A7A">
      <w:pPr>
        <w:pStyle w:val="ListBullet"/>
      </w:pPr>
      <w:r w:rsidRPr="008632F6">
        <w:t xml:space="preserve">other related legislation, including the: </w:t>
      </w:r>
    </w:p>
    <w:p w:rsidR="001F1A7A" w:rsidRPr="00030495" w:rsidRDefault="001F1A7A" w:rsidP="00ED168B">
      <w:pPr>
        <w:pStyle w:val="ListBullet2"/>
        <w:tabs>
          <w:tab w:val="clear" w:pos="845"/>
          <w:tab w:val="num" w:pos="709"/>
        </w:tabs>
        <w:ind w:left="709" w:hanging="408"/>
        <w:rPr>
          <w:i/>
        </w:rPr>
      </w:pPr>
      <w:r w:rsidRPr="00030495">
        <w:rPr>
          <w:i/>
        </w:rPr>
        <w:t xml:space="preserve">Do Not Call Register Act 2006 </w:t>
      </w:r>
    </w:p>
    <w:p w:rsidR="001F1A7A" w:rsidRPr="00030495" w:rsidRDefault="001F1A7A" w:rsidP="00ED168B">
      <w:pPr>
        <w:pStyle w:val="ListBullet2"/>
        <w:tabs>
          <w:tab w:val="clear" w:pos="845"/>
          <w:tab w:val="num" w:pos="709"/>
        </w:tabs>
        <w:ind w:left="709" w:hanging="408"/>
        <w:rPr>
          <w:i/>
        </w:rPr>
      </w:pPr>
      <w:r w:rsidRPr="00030495">
        <w:rPr>
          <w:i/>
        </w:rPr>
        <w:t xml:space="preserve">Spam Act 2003 </w:t>
      </w:r>
    </w:p>
    <w:p w:rsidR="001F1A7A" w:rsidRPr="00030495" w:rsidRDefault="001F1A7A" w:rsidP="00ED168B">
      <w:pPr>
        <w:pStyle w:val="ListBullet2"/>
        <w:tabs>
          <w:tab w:val="clear" w:pos="845"/>
          <w:tab w:val="num" w:pos="709"/>
        </w:tabs>
        <w:ind w:left="709" w:hanging="408"/>
        <w:rPr>
          <w:i/>
        </w:rPr>
      </w:pPr>
      <w:r w:rsidRPr="00030495">
        <w:rPr>
          <w:i/>
        </w:rPr>
        <w:t xml:space="preserve">Interactive Gambling Act 2001 </w:t>
      </w:r>
    </w:p>
    <w:p w:rsidR="001F1A7A" w:rsidRPr="00030495" w:rsidRDefault="001F1A7A" w:rsidP="00ED168B">
      <w:pPr>
        <w:pStyle w:val="ListBullet2"/>
        <w:tabs>
          <w:tab w:val="clear" w:pos="845"/>
          <w:tab w:val="num" w:pos="709"/>
        </w:tabs>
        <w:ind w:left="709" w:hanging="408"/>
        <w:rPr>
          <w:i/>
        </w:rPr>
      </w:pPr>
      <w:r w:rsidRPr="00030495">
        <w:rPr>
          <w:i/>
        </w:rPr>
        <w:t>Telecommunications (Consumer Protection and Service Standards) Act 1999</w:t>
      </w:r>
    </w:p>
    <w:p w:rsidR="001F1A7A" w:rsidRDefault="001F1A7A" w:rsidP="00ED168B">
      <w:pPr>
        <w:pStyle w:val="ListBullet2"/>
        <w:tabs>
          <w:tab w:val="clear" w:pos="845"/>
          <w:tab w:val="num" w:pos="709"/>
        </w:tabs>
        <w:spacing w:after="240"/>
        <w:ind w:left="709" w:hanging="408"/>
      </w:pPr>
      <w:r w:rsidRPr="00030495">
        <w:rPr>
          <w:i/>
        </w:rPr>
        <w:t>Telecommunications (Industry Levy) Act 2012</w:t>
      </w:r>
      <w:r w:rsidRPr="001F1A7A">
        <w:t>.</w:t>
      </w:r>
    </w:p>
    <w:p w:rsidR="001F1A7A" w:rsidRPr="000D76E0" w:rsidRDefault="001F1A7A" w:rsidP="001F1A7A">
      <w:pPr>
        <w:pStyle w:val="Heading1"/>
      </w:pPr>
      <w:bookmarkStart w:id="6" w:name="_Toc453828782"/>
      <w:bookmarkStart w:id="7" w:name="_Toc457898836"/>
      <w:r>
        <w:lastRenderedPageBreak/>
        <w:t>Environment</w:t>
      </w:r>
      <w:bookmarkEnd w:id="6"/>
      <w:bookmarkEnd w:id="7"/>
    </w:p>
    <w:p w:rsidR="001F1A7A" w:rsidRPr="00E12621" w:rsidRDefault="001F1A7A" w:rsidP="001F1A7A">
      <w:pPr>
        <w:pStyle w:val="Heading2"/>
        <w:spacing w:before="0" w:after="0"/>
        <w:contextualSpacing/>
        <w:mirrorIndents/>
      </w:pPr>
      <w:bookmarkStart w:id="8" w:name="_Toc422921378"/>
      <w:bookmarkStart w:id="9" w:name="_Toc453243382"/>
      <w:bookmarkStart w:id="10" w:name="_Toc453243885"/>
      <w:bookmarkStart w:id="11" w:name="_Toc453828783"/>
      <w:bookmarkStart w:id="12" w:name="_Toc457898837"/>
      <w:r>
        <w:t>The media and communications e</w:t>
      </w:r>
      <w:r w:rsidRPr="00E12621">
        <w:t>nvironment</w:t>
      </w:r>
      <w:bookmarkEnd w:id="8"/>
      <w:bookmarkEnd w:id="9"/>
      <w:bookmarkEnd w:id="10"/>
      <w:bookmarkEnd w:id="11"/>
      <w:bookmarkEnd w:id="12"/>
    </w:p>
    <w:p w:rsidR="001F1A7A" w:rsidRDefault="001F1A7A" w:rsidP="001F1A7A">
      <w:r>
        <w:t>The ACMA will continue to face a number of external pressures over the life of this corporate plan</w:t>
      </w:r>
      <w:r w:rsidR="00231C61">
        <w:t>—</w:t>
      </w:r>
      <w:r>
        <w:t xml:space="preserve">some pre-existing, others novel. The media and communications landscape that the ACMA oversees is a fundamental component of contemporary Australia’s transition into a digital, internet-enabled economy and society. In 2016, global IP traffic is set to pass the </w:t>
      </w:r>
      <w:proofErr w:type="spellStart"/>
      <w:r>
        <w:t>zetabyte</w:t>
      </w:r>
      <w:proofErr w:type="spellEnd"/>
      <w:r>
        <w:t xml:space="preserve"> (one trillion gigabyte) threshold for the first time in history.</w:t>
      </w:r>
      <w:r>
        <w:rPr>
          <w:rStyle w:val="FootnoteReference"/>
        </w:rPr>
        <w:footnoteReference w:id="2"/>
      </w:r>
    </w:p>
    <w:p w:rsidR="001F1A7A" w:rsidRDefault="001F1A7A" w:rsidP="001F1A7A">
      <w:r>
        <w:t>During the lifetime of this plan, this figure is set to double. Australia’s participation in global internet-enabled communications will be accompanied by a massive increase in the number of network connections and connected device</w:t>
      </w:r>
      <w:r w:rsidR="00B57BA6">
        <w:t>s</w:t>
      </w:r>
      <w:r w:rsidR="00D6007B">
        <w:t>,</w:t>
      </w:r>
      <w:r>
        <w:t xml:space="preserve"> and by continued innovation in services and applications</w:t>
      </w:r>
      <w:r w:rsidR="00D6007B">
        <w:t xml:space="preserve"> along with</w:t>
      </w:r>
      <w:r>
        <w:t xml:space="preserve"> the content and digital information generated over those connections. The ACMA observes that industry segments, </w:t>
      </w:r>
      <w:r w:rsidR="00D6007B">
        <w:t>as well as</w:t>
      </w:r>
      <w:r>
        <w:t xml:space="preserve"> individual consumers and citizens, are at different stages in the transition to an internet-enabled communications environment. Australian regulatory settings and oversight, together with regulator actions, will need to recognise and adapt to support this complex communications environment. </w:t>
      </w:r>
    </w:p>
    <w:p w:rsidR="001F1A7A" w:rsidRDefault="001F1A7A" w:rsidP="001F1A7A">
      <w:r>
        <w:t xml:space="preserve">Another key external development has been the commencement of a formal review of the ACMA by the Department of Communications and the Arts. The review aimed </w:t>
      </w:r>
      <w:r w:rsidRPr="00780871">
        <w:rPr>
          <w:lang w:val="en"/>
        </w:rPr>
        <w:t>to examine the objectives, structure and operation of the ACMA to ensure it remains fit-for-purpose for both the contemporary and future communications regulatory environment.</w:t>
      </w:r>
      <w:r>
        <w:rPr>
          <w:lang w:val="en"/>
        </w:rPr>
        <w:t xml:space="preserve"> Implementation of the</w:t>
      </w:r>
      <w:r>
        <w:t xml:space="preserve"> final recommendations of the review—due later in 2016—is expected to guide regulatory reform priorities over the period of this plan.  </w:t>
      </w:r>
    </w:p>
    <w:p w:rsidR="001F1A7A" w:rsidRDefault="001F1A7A" w:rsidP="001F1A7A">
      <w:r>
        <w:t>At the same time, there remains a complex set of transitional challenges for each of the industry sectors regulated by the ACMA. This is expected to require continued careful oversight and management over the next four years.</w:t>
      </w:r>
    </w:p>
    <w:p w:rsidR="001F1A7A" w:rsidRDefault="001F1A7A" w:rsidP="001F1A7A">
      <w:r>
        <w:t xml:space="preserve">The ACMA faces a broad range of risks across its complex mandate where multi-layered technological and commercial changes raise operational, regulatory and strategic challenges. Known and new risks and challenges are assessed according to </w:t>
      </w:r>
      <w:r w:rsidR="004270DE">
        <w:t xml:space="preserve">their </w:t>
      </w:r>
      <w:r>
        <w:t xml:space="preserve">strategic risk profile and the choice of response is calibrated to ensure effective delivery of </w:t>
      </w:r>
      <w:r w:rsidR="00F21AC6">
        <w:t>the right results</w:t>
      </w:r>
      <w:r>
        <w:t xml:space="preserve">. These challenges vary across the sectors regulated by the ACMA. </w:t>
      </w:r>
    </w:p>
    <w:p w:rsidR="001F1A7A" w:rsidRPr="00906B57" w:rsidRDefault="001F1A7A" w:rsidP="001F1A7A">
      <w:r>
        <w:t>In</w:t>
      </w:r>
      <w:r w:rsidRPr="00906B57">
        <w:t xml:space="preserve"> </w:t>
      </w:r>
      <w:r w:rsidRPr="00906B57">
        <w:rPr>
          <w:b/>
        </w:rPr>
        <w:t>telecommunications</w:t>
      </w:r>
      <w:r>
        <w:rPr>
          <w:b/>
        </w:rPr>
        <w:t>,</w:t>
      </w:r>
      <w:r w:rsidRPr="00906B57">
        <w:t xml:space="preserve"> as the N</w:t>
      </w:r>
      <w:r>
        <w:t xml:space="preserve">ational Broadband Network </w:t>
      </w:r>
      <w:r w:rsidRPr="00906B57">
        <w:t>rollout proceeds, there</w:t>
      </w:r>
      <w:r>
        <w:t xml:space="preserve"> remains significant </w:t>
      </w:r>
      <w:r w:rsidRPr="00906B57">
        <w:t xml:space="preserve">transition </w:t>
      </w:r>
      <w:r>
        <w:t>work</w:t>
      </w:r>
      <w:r w:rsidRPr="00906B57">
        <w:t xml:space="preserve"> to rationalise telecommunications regulatory structures, particularly </w:t>
      </w:r>
      <w:r>
        <w:t>addressing the legacy</w:t>
      </w:r>
      <w:r w:rsidRPr="00906B57">
        <w:t xml:space="preserve"> emphasis on fixed</w:t>
      </w:r>
      <w:r>
        <w:t>-</w:t>
      </w:r>
      <w:r w:rsidRPr="00906B57">
        <w:t>line consumer regulation. There are also technical issues that</w:t>
      </w:r>
      <w:r>
        <w:t xml:space="preserve"> </w:t>
      </w:r>
      <w:r w:rsidRPr="00906B57">
        <w:t xml:space="preserve">require </w:t>
      </w:r>
      <w:r>
        <w:t>industry standards development</w:t>
      </w:r>
      <w:r w:rsidRPr="00906B57">
        <w:t xml:space="preserve"> </w:t>
      </w:r>
      <w:r>
        <w:t xml:space="preserve">or underpinning </w:t>
      </w:r>
      <w:r w:rsidRPr="00906B57">
        <w:t>regulatory determination</w:t>
      </w:r>
      <w:r>
        <w:t>s.</w:t>
      </w:r>
    </w:p>
    <w:p w:rsidR="001F1A7A" w:rsidRPr="00906B57" w:rsidRDefault="001F1A7A" w:rsidP="001F1A7A">
      <w:pPr>
        <w:rPr>
          <w:b/>
        </w:rPr>
      </w:pPr>
      <w:r w:rsidRPr="00AB0AFF">
        <w:t>The</w:t>
      </w:r>
      <w:r>
        <w:rPr>
          <w:b/>
        </w:rPr>
        <w:t xml:space="preserve"> b</w:t>
      </w:r>
      <w:r w:rsidRPr="00906B57">
        <w:rPr>
          <w:b/>
        </w:rPr>
        <w:t>roadcasting</w:t>
      </w:r>
      <w:r w:rsidRPr="00906B57">
        <w:t xml:space="preserve"> </w:t>
      </w:r>
      <w:r>
        <w:t xml:space="preserve">sector </w:t>
      </w:r>
      <w:r w:rsidRPr="00906B57">
        <w:t xml:space="preserve">is </w:t>
      </w:r>
      <w:r>
        <w:t xml:space="preserve">under pressure as </w:t>
      </w:r>
      <w:r w:rsidRPr="00906B57">
        <w:t>business model</w:t>
      </w:r>
      <w:r w:rsidR="00F21AC6">
        <w:t xml:space="preserve">s </w:t>
      </w:r>
      <w:r>
        <w:t xml:space="preserve">come under challenge from </w:t>
      </w:r>
      <w:r w:rsidRPr="00906B57">
        <w:t>the rise of over-the-top content providers</w:t>
      </w:r>
      <w:r>
        <w:t>,</w:t>
      </w:r>
      <w:r w:rsidRPr="00906B57">
        <w:t xml:space="preserve"> </w:t>
      </w:r>
      <w:r>
        <w:t xml:space="preserve">which offer complementary and to some extent substitutable viewing destinations for audiences. </w:t>
      </w:r>
      <w:r w:rsidR="00F21AC6">
        <w:t>At the same time, t</w:t>
      </w:r>
      <w:r>
        <w:t xml:space="preserve">here remains a demonstrable expectation among audiences that content will be guided by community standards, and that audiences will have access to advice about content and the ability to complain when they consider that community standards have not been met. </w:t>
      </w:r>
    </w:p>
    <w:p w:rsidR="001F1A7A" w:rsidRDefault="001F1A7A" w:rsidP="001F1A7A">
      <w:r w:rsidRPr="00030495">
        <w:rPr>
          <w:b/>
        </w:rPr>
        <w:lastRenderedPageBreak/>
        <w:t>Spectrum management</w:t>
      </w:r>
      <w:r>
        <w:t xml:space="preserve"> activity will be directed to the implementation of the recommendations arising from the 2015 </w:t>
      </w:r>
      <w:hyperlink r:id="rId24" w:history="1">
        <w:r w:rsidRPr="003B0F5D">
          <w:rPr>
            <w:rStyle w:val="Hyperlink"/>
          </w:rPr>
          <w:t>Spectrum Review</w:t>
        </w:r>
      </w:hyperlink>
      <w:r>
        <w:t xml:space="preserve">. These </w:t>
      </w:r>
      <w:r w:rsidR="0000657B">
        <w:t xml:space="preserve">recommendations </w:t>
      </w:r>
      <w:r>
        <w:t>include the creation of a more flexible licensing framework, better integration of public sector and broadcasting spectrum, and a stronger focus on the adoption of market-based mechanisms for spectrum management. Sp</w:t>
      </w:r>
      <w:r w:rsidRPr="00906B57">
        <w:t xml:space="preserve">ectrum </w:t>
      </w:r>
      <w:r>
        <w:t xml:space="preserve">allocation </w:t>
      </w:r>
      <w:r w:rsidRPr="00906B57">
        <w:t xml:space="preserve">decisions </w:t>
      </w:r>
      <w:r>
        <w:t>are also expected to increase in complexity during the period of this plan. Pressure for</w:t>
      </w:r>
      <w:r w:rsidRPr="00906B57">
        <w:t xml:space="preserve"> </w:t>
      </w:r>
      <w:r>
        <w:t xml:space="preserve">new spectrum uses will increasingly involve balancing of competing reallocation demands from existing high-value spectrum users, while addressing the spectrum demand from new users. </w:t>
      </w:r>
    </w:p>
    <w:p w:rsidR="001F1A7A" w:rsidRDefault="001F1A7A" w:rsidP="001F1A7A">
      <w:r w:rsidRPr="0077279F">
        <w:t>In</w:t>
      </w:r>
      <w:r w:rsidRPr="0077279F">
        <w:rPr>
          <w:b/>
        </w:rPr>
        <w:t xml:space="preserve"> online content and communications, </w:t>
      </w:r>
      <w:r w:rsidRPr="0077279F">
        <w:t>ongoing innovation in spam and malware that target and exploit online consumers continue</w:t>
      </w:r>
      <w:r>
        <w:t>s</w:t>
      </w:r>
      <w:r w:rsidRPr="0077279F">
        <w:t xml:space="preserve"> to require regulatory attention.  </w:t>
      </w:r>
    </w:p>
    <w:p w:rsidR="001F1A7A" w:rsidRDefault="001F1A7A" w:rsidP="001F1A7A">
      <w:r>
        <w:t xml:space="preserve">As part of its ongoing activities, the ACMA will also continue to pursue </w:t>
      </w:r>
      <w:r w:rsidRPr="004B492D">
        <w:t>opportunities</w:t>
      </w:r>
      <w:r>
        <w:t xml:space="preserve"> to reduce regulatory burden on industry and citizens, and to explore areas for continuous improvement identified under the </w:t>
      </w:r>
      <w:r w:rsidRPr="004B492D">
        <w:t xml:space="preserve">Regulator Performance Framework </w:t>
      </w:r>
      <w:r>
        <w:t>(</w:t>
      </w:r>
      <w:proofErr w:type="spellStart"/>
      <w:r>
        <w:t>RPF</w:t>
      </w:r>
      <w:proofErr w:type="spellEnd"/>
      <w:r>
        <w:t xml:space="preserve">) </w:t>
      </w:r>
      <w:r w:rsidRPr="004B492D">
        <w:t>for Commo</w:t>
      </w:r>
      <w:r>
        <w:t>nw</w:t>
      </w:r>
      <w:r w:rsidRPr="004B492D">
        <w:t>ealth regulators</w:t>
      </w:r>
      <w:r>
        <w:t xml:space="preserve">. </w:t>
      </w:r>
    </w:p>
    <w:p w:rsidR="001F1A7A" w:rsidRDefault="001F1A7A" w:rsidP="001F1A7A">
      <w:pPr>
        <w:pStyle w:val="Heading2"/>
      </w:pPr>
      <w:bookmarkStart w:id="13" w:name="_Toc422921379"/>
      <w:bookmarkStart w:id="14" w:name="_Toc453243383"/>
      <w:bookmarkStart w:id="15" w:name="_Toc453243886"/>
      <w:bookmarkStart w:id="16" w:name="_Toc453828784"/>
      <w:bookmarkStart w:id="17" w:name="_Toc457898838"/>
      <w:r w:rsidRPr="00D7290A">
        <w:t>The resourcing environment</w:t>
      </w:r>
      <w:bookmarkEnd w:id="13"/>
      <w:bookmarkEnd w:id="14"/>
      <w:bookmarkEnd w:id="15"/>
      <w:bookmarkEnd w:id="16"/>
      <w:bookmarkEnd w:id="17"/>
    </w:p>
    <w:p w:rsidR="001F1A7A" w:rsidRDefault="001F1A7A" w:rsidP="001F1A7A">
      <w:r>
        <w:t xml:space="preserve">As in </w:t>
      </w:r>
      <w:r w:rsidRPr="00C11363">
        <w:t xml:space="preserve">previous </w:t>
      </w:r>
      <w:r>
        <w:t xml:space="preserve">years, over the life of this corporate plan the ACMA will continue to carry out its work from a declining resource base. </w:t>
      </w:r>
      <w:r w:rsidR="00F21AC6">
        <w:t>In addition, d</w:t>
      </w:r>
      <w:r>
        <w:t xml:space="preserve">epending on the outcomes of the </w:t>
      </w:r>
      <w:r w:rsidRPr="00171963">
        <w:t xml:space="preserve">ACMA </w:t>
      </w:r>
      <w:r w:rsidR="00D6007B">
        <w:t>r</w:t>
      </w:r>
      <w:r w:rsidRPr="00171963">
        <w:t>eview</w:t>
      </w:r>
      <w:r>
        <w:t xml:space="preserve">, changes to the ACMA’s remit and functions are expected, which will </w:t>
      </w:r>
      <w:r w:rsidR="00F21AC6">
        <w:t>create</w:t>
      </w:r>
      <w:r>
        <w:t xml:space="preserve"> consequential changes to the resourcing profile needed to support a revised remit.</w:t>
      </w:r>
    </w:p>
    <w:p w:rsidR="001F1A7A" w:rsidRDefault="001F1A7A" w:rsidP="001F1A7A">
      <w:r>
        <w:t xml:space="preserve">The ACMA continues to support the operations of the Office of the </w:t>
      </w:r>
      <w:r w:rsidRPr="004E61CA">
        <w:t>Children’s eSafety Commissioner</w:t>
      </w:r>
      <w:r>
        <w:t>, established</w:t>
      </w:r>
      <w:r w:rsidRPr="004E61CA">
        <w:t xml:space="preserve"> </w:t>
      </w:r>
      <w:r>
        <w:t>a</w:t>
      </w:r>
      <w:r w:rsidRPr="004E61CA">
        <w:t>s an independent statutory office within the ACMA</w:t>
      </w:r>
      <w:r>
        <w:t xml:space="preserve">. The Office is directed to </w:t>
      </w:r>
      <w:r w:rsidR="004270DE" w:rsidRPr="004E61CA">
        <w:t>promot</w:t>
      </w:r>
      <w:r w:rsidR="004270DE">
        <w:t>e</w:t>
      </w:r>
      <w:r w:rsidR="004270DE" w:rsidRPr="004E61CA">
        <w:t xml:space="preserve"> </w:t>
      </w:r>
      <w:r w:rsidRPr="004E61CA">
        <w:t>online safety for children and persons at risk of technology</w:t>
      </w:r>
      <w:r>
        <w:t>-</w:t>
      </w:r>
      <w:r w:rsidRPr="004E61CA">
        <w:t>facilitated violence</w:t>
      </w:r>
      <w:r>
        <w:t xml:space="preserve">, </w:t>
      </w:r>
      <w:r w:rsidRPr="004E61CA">
        <w:t>through national leadership and administration of statutory schemes and educational and awareness activities</w:t>
      </w:r>
      <w:r>
        <w:t>.</w:t>
      </w:r>
    </w:p>
    <w:p w:rsidR="001F1A7A" w:rsidRDefault="001F1A7A" w:rsidP="001F1A7A">
      <w:r>
        <w:t>Responding to changing industry and stakeholder demands, while delivering on its legislative remit in this context, requires that the ACMA continue to employ a mix of regulatory and non-regulatory strategies and service delivery methods. Workforce planning will assist the ACMA in determining the appropriate capabilities and staff required to meet future needs. In addition,</w:t>
      </w:r>
      <w:r w:rsidRPr="00DB6387">
        <w:t xml:space="preserve"> </w:t>
      </w:r>
      <w:r>
        <w:t xml:space="preserve">targeted ICT investment continues to support a capability for industry and citizens to undertake online transactions and have a single point of contact through the ACMA’s Customer Service Centre. </w:t>
      </w:r>
    </w:p>
    <w:p w:rsidR="00DF769C" w:rsidRDefault="00DF769C" w:rsidP="00DF769C">
      <w:pPr>
        <w:pStyle w:val="Heading1"/>
      </w:pPr>
      <w:bookmarkStart w:id="18" w:name="_Toc453828785"/>
      <w:bookmarkStart w:id="19" w:name="_Toc457898839"/>
      <w:r>
        <w:lastRenderedPageBreak/>
        <w:t>Performance</w:t>
      </w:r>
      <w:bookmarkEnd w:id="18"/>
      <w:bookmarkEnd w:id="19"/>
    </w:p>
    <w:p w:rsidR="00DF769C" w:rsidRDefault="00DF769C" w:rsidP="00DF769C">
      <w:r w:rsidRPr="00E12621">
        <w:t>Th</w:t>
      </w:r>
      <w:r>
        <w:t>is corporate p</w:t>
      </w:r>
      <w:r w:rsidRPr="00E12621">
        <w:t xml:space="preserve">lan is framed around distinct strategic </w:t>
      </w:r>
      <w:r>
        <w:t xml:space="preserve">outcomes that the ACMA is seeking to </w:t>
      </w:r>
      <w:r w:rsidR="00F21AC6">
        <w:t>achieve</w:t>
      </w:r>
      <w:r>
        <w:t xml:space="preserve"> over the next four years</w:t>
      </w:r>
      <w:r w:rsidRPr="00E12621">
        <w:t>, designated as Key Result</w:t>
      </w:r>
      <w:r>
        <w:t xml:space="preserve"> Areas (</w:t>
      </w:r>
      <w:proofErr w:type="spellStart"/>
      <w:r>
        <w:t>KRAs</w:t>
      </w:r>
      <w:proofErr w:type="spellEnd"/>
      <w:r>
        <w:t xml:space="preserve">). The ACMA’s </w:t>
      </w:r>
      <w:proofErr w:type="spellStart"/>
      <w:r>
        <w:t>KRAs</w:t>
      </w:r>
      <w:proofErr w:type="spellEnd"/>
      <w:r>
        <w:t xml:space="preserve"> work to align performance reporting with the outcomes it needs to deliver, as specified in the Portfolio Budget Statements. The ACMA has also identified a strong alignment between its </w:t>
      </w:r>
      <w:proofErr w:type="spellStart"/>
      <w:r>
        <w:t>KRAs</w:t>
      </w:r>
      <w:proofErr w:type="spellEnd"/>
      <w:r>
        <w:t xml:space="preserve"> and key performance indicators required by the Regulator Performance Framework (</w:t>
      </w:r>
      <w:proofErr w:type="spellStart"/>
      <w:r>
        <w:t>RPF</w:t>
      </w:r>
      <w:proofErr w:type="spellEnd"/>
      <w:r>
        <w:t xml:space="preserve">). This corporate plan specifies a four-year cycle of performance targets that assess the ACMA’s performance against its </w:t>
      </w:r>
      <w:proofErr w:type="spellStart"/>
      <w:r>
        <w:t>KRAs</w:t>
      </w:r>
      <w:proofErr w:type="spellEnd"/>
      <w:r>
        <w:t xml:space="preserve">, while also supporting an assessment of regulatory efficiency and effectiveness against the </w:t>
      </w:r>
      <w:proofErr w:type="spellStart"/>
      <w:r>
        <w:t>RPF</w:t>
      </w:r>
      <w:proofErr w:type="spellEnd"/>
      <w:r>
        <w:t xml:space="preserve">.  </w:t>
      </w:r>
    </w:p>
    <w:p w:rsidR="00DF769C" w:rsidRPr="00D7290A" w:rsidRDefault="00DF769C" w:rsidP="00DF769C">
      <w:pPr>
        <w:pStyle w:val="Heading2"/>
      </w:pPr>
      <w:bookmarkStart w:id="20" w:name="_Toc453243385"/>
      <w:bookmarkStart w:id="21" w:name="_Toc453243888"/>
      <w:bookmarkStart w:id="22" w:name="_Toc453828786"/>
      <w:bookmarkStart w:id="23" w:name="_Toc457898840"/>
      <w:r w:rsidRPr="00D7290A">
        <w:t>Key Result Areas</w:t>
      </w:r>
      <w:bookmarkEnd w:id="20"/>
      <w:bookmarkEnd w:id="21"/>
      <w:bookmarkEnd w:id="22"/>
      <w:bookmarkEnd w:id="23"/>
    </w:p>
    <w:p w:rsidR="00DF769C" w:rsidRDefault="00DF769C" w:rsidP="0064210B">
      <w:r>
        <w:t xml:space="preserve">The activities the ACMA undertakes to fulfil its purpose are consolidated under three </w:t>
      </w:r>
      <w:proofErr w:type="spellStart"/>
      <w:r>
        <w:t>KRAs</w:t>
      </w:r>
      <w:proofErr w:type="spellEnd"/>
      <w:r>
        <w:t>.</w:t>
      </w:r>
      <w:r w:rsidRPr="005E1F62">
        <w:t xml:space="preserve"> </w:t>
      </w:r>
      <w:r>
        <w:t xml:space="preserve">In line with changing requirements for performance reporting information, the ACMA’s continuing commitment to improving accountability and transparency for its stakeholders, </w:t>
      </w:r>
      <w:r w:rsidR="00EA4B86">
        <w:t>and</w:t>
      </w:r>
      <w:r>
        <w:t xml:space="preserve"> changes in the its regulatory responsibilities, the ACMA has revised its </w:t>
      </w:r>
      <w:proofErr w:type="spellStart"/>
      <w:r>
        <w:t>KRAs</w:t>
      </w:r>
      <w:proofErr w:type="spellEnd"/>
      <w:r>
        <w:t xml:space="preserve"> to better reflect current areas of responsibility. Implicit in the articulation of these </w:t>
      </w:r>
      <w:proofErr w:type="spellStart"/>
      <w:r>
        <w:t>KRAs</w:t>
      </w:r>
      <w:proofErr w:type="spellEnd"/>
      <w:r>
        <w:t xml:space="preserve"> are both the intended result the ACMA seeks to achieve and the strategy employed to do so. The </w:t>
      </w:r>
      <w:proofErr w:type="spellStart"/>
      <w:r>
        <w:t>KRAs</w:t>
      </w:r>
      <w:proofErr w:type="spellEnd"/>
      <w:r>
        <w:t xml:space="preserv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s of KRAs"/>
      </w:tblPr>
      <w:tblGrid>
        <w:gridCol w:w="996"/>
        <w:gridCol w:w="6668"/>
      </w:tblGrid>
      <w:tr w:rsidR="00295D86" w:rsidTr="001B3CA8">
        <w:trPr>
          <w:trHeight w:val="830"/>
          <w:tblHeader/>
        </w:trPr>
        <w:tc>
          <w:tcPr>
            <w:tcW w:w="993" w:type="dxa"/>
          </w:tcPr>
          <w:p w:rsidR="00295D86" w:rsidRDefault="00295D86" w:rsidP="00295D86">
            <w:pPr>
              <w:spacing w:after="100" w:afterAutospacing="1"/>
            </w:pPr>
            <w:r>
              <w:rPr>
                <w:noProof/>
              </w:rPr>
              <mc:AlternateContent>
                <mc:Choice Requires="wps">
                  <w:drawing>
                    <wp:inline distT="0" distB="0" distL="0" distR="0" wp14:anchorId="42548EEE" wp14:editId="40FC28D6">
                      <wp:extent cx="469265" cy="414020"/>
                      <wp:effectExtent l="0" t="0" r="6985" b="508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414020"/>
                              </a:xfrm>
                              <a:prstGeom prst="rect">
                                <a:avLst/>
                              </a:prstGeom>
                              <a:solidFill>
                                <a:srgbClr val="3957A5"/>
                              </a:solidFill>
                              <a:ln w="9525">
                                <a:noFill/>
                                <a:miter lim="800000"/>
                                <a:headEnd/>
                                <a:tailEnd/>
                              </a:ln>
                            </wps:spPr>
                            <wps:txbx>
                              <w:txbxContent>
                                <w:p w:rsidR="001B3CA8" w:rsidRPr="00295D86" w:rsidRDefault="001B3CA8" w:rsidP="002305E3">
                                  <w:pPr>
                                    <w:shd w:val="clear" w:color="auto" w:fill="3957A5"/>
                                    <w:spacing w:after="0"/>
                                    <w:jc w:val="center"/>
                                    <w:rPr>
                                      <w:b/>
                                      <w:color w:val="FFFFFF" w:themeColor="background1"/>
                                      <w:sz w:val="18"/>
                                      <w:szCs w:val="18"/>
                                    </w:rPr>
                                  </w:pPr>
                                  <w:proofErr w:type="spellStart"/>
                                  <w:r w:rsidRPr="00295D86">
                                    <w:rPr>
                                      <w:b/>
                                      <w:color w:val="FFFFFF" w:themeColor="background1"/>
                                      <w:sz w:val="18"/>
                                      <w:szCs w:val="18"/>
                                    </w:rPr>
                                    <w:t>KRA</w:t>
                                  </w:r>
                                  <w:proofErr w:type="spellEnd"/>
                                  <w:r w:rsidRPr="00295D86">
                                    <w:rPr>
                                      <w:b/>
                                      <w:color w:val="FFFFFF" w:themeColor="background1"/>
                                      <w:sz w:val="18"/>
                                      <w:szCs w:val="18"/>
                                    </w:rPr>
                                    <w:t xml:space="preserve"> </w:t>
                                  </w:r>
                                  <w:r w:rsidRPr="00295D86">
                                    <w:rPr>
                                      <w:b/>
                                      <w:color w:val="FFFFFF" w:themeColor="background1"/>
                                      <w:sz w:val="18"/>
                                      <w:szCs w:val="18"/>
                                    </w:rPr>
                                    <w:br/>
                                    <w:t>1</w:t>
                                  </w:r>
                                </w:p>
                              </w:txbxContent>
                            </wps:txbx>
                            <wps:bodyPr rot="0" vert="horz" wrap="square" lIns="91440" tIns="45720" rIns="91440" bIns="45720" anchor="ctr" anchorCtr="0">
                              <a:noAutofit/>
                            </wps:bodyPr>
                          </wps:wsp>
                        </a:graphicData>
                      </a:graphic>
                    </wp:inline>
                  </w:drawing>
                </mc:Choice>
                <mc:Fallback>
                  <w:pict>
                    <v:shapetype w14:anchorId="42548EEE" id="_x0000_t202" coordsize="21600,21600" o:spt="202" path="m,l,21600r21600,l21600,xe">
                      <v:stroke joinstyle="miter"/>
                      <v:path gradientshapeok="t" o:connecttype="rect"/>
                    </v:shapetype>
                    <v:shape id="Text Box 6" o:spid="_x0000_s1026" type="#_x0000_t202" style="width:36.95pt;height:3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" fillcolor="#3957a5" stroked="f">
                      <v:textbox>
                        <w:txbxContent>
                          <w:p w:rsidR="001B3CA8" w:rsidRPr="00295D86" w:rsidRDefault="001B3CA8" w:rsidP="002305E3">
                            <w:pPr>
                              <w:shd w:val="clear" w:color="auto" w:fill="3957A5"/>
                              <w:spacing w:after="0"/>
                              <w:jc w:val="center"/>
                              <w:rPr>
                                <w:b/>
                                <w:color w:val="FFFFFF" w:themeColor="background1"/>
                                <w:sz w:val="18"/>
                                <w:szCs w:val="18"/>
                              </w:rPr>
                            </w:pPr>
                            <w:proofErr w:type="spellStart"/>
                            <w:r w:rsidRPr="00295D86">
                              <w:rPr>
                                <w:b/>
                                <w:color w:val="FFFFFF" w:themeColor="background1"/>
                                <w:sz w:val="18"/>
                                <w:szCs w:val="18"/>
                              </w:rPr>
                              <w:t>KRA</w:t>
                            </w:r>
                            <w:proofErr w:type="spellEnd"/>
                            <w:r w:rsidRPr="00295D86">
                              <w:rPr>
                                <w:b/>
                                <w:color w:val="FFFFFF" w:themeColor="background1"/>
                                <w:sz w:val="18"/>
                                <w:szCs w:val="18"/>
                              </w:rPr>
                              <w:t xml:space="preserve"> </w:t>
                            </w:r>
                            <w:r w:rsidRPr="00295D86">
                              <w:rPr>
                                <w:b/>
                                <w:color w:val="FFFFFF" w:themeColor="background1"/>
                                <w:sz w:val="18"/>
                                <w:szCs w:val="18"/>
                              </w:rPr>
                              <w:br/>
                              <w:t>1</w:t>
                            </w:r>
                          </w:p>
                        </w:txbxContent>
                      </v:textbox>
                      <w10:anchorlock/>
                    </v:shape>
                  </w:pict>
                </mc:Fallback>
              </mc:AlternateContent>
            </w:r>
          </w:p>
        </w:tc>
        <w:tc>
          <w:tcPr>
            <w:tcW w:w="6668" w:type="dxa"/>
          </w:tcPr>
          <w:p w:rsidR="00295D86" w:rsidRPr="00295D86" w:rsidRDefault="00295D86" w:rsidP="0064210B">
            <w:pPr>
              <w:spacing w:before="40" w:after="80"/>
              <w:rPr>
                <w:b/>
              </w:rPr>
            </w:pPr>
            <w:r w:rsidRPr="00295D86">
              <w:rPr>
                <w:b/>
              </w:rPr>
              <w:t>That the planning, allocation and use of public resources maximises the</w:t>
            </w:r>
            <w:r w:rsidR="00F21AC6">
              <w:rPr>
                <w:b/>
              </w:rPr>
              <w:t>ir</w:t>
            </w:r>
            <w:r w:rsidRPr="00295D86">
              <w:rPr>
                <w:b/>
              </w:rPr>
              <w:t xml:space="preserve"> value to the Australian community.</w:t>
            </w:r>
          </w:p>
        </w:tc>
      </w:tr>
      <w:tr w:rsidR="00295D86" w:rsidTr="00085A9D">
        <w:tc>
          <w:tcPr>
            <w:tcW w:w="993" w:type="dxa"/>
          </w:tcPr>
          <w:p w:rsidR="00295D86" w:rsidRDefault="00295D86" w:rsidP="00DF769C">
            <w:pPr>
              <w:spacing w:after="80"/>
            </w:pPr>
            <w:r>
              <w:rPr>
                <w:noProof/>
              </w:rPr>
              <mc:AlternateContent>
                <mc:Choice Requires="wps">
                  <w:drawing>
                    <wp:anchor distT="0" distB="0" distL="114300" distR="114300" simplePos="0" relativeHeight="251664384" behindDoc="0" locked="0" layoutInCell="1" allowOverlap="1" wp14:anchorId="24B7748F" wp14:editId="2CFF4B1F">
                      <wp:simplePos x="0" y="0"/>
                      <wp:positionH relativeFrom="column">
                        <wp:posOffset>635</wp:posOffset>
                      </wp:positionH>
                      <wp:positionV relativeFrom="paragraph">
                        <wp:posOffset>116586</wp:posOffset>
                      </wp:positionV>
                      <wp:extent cx="468000" cy="414000"/>
                      <wp:effectExtent l="0" t="0" r="825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414000"/>
                              </a:xfrm>
                              <a:prstGeom prst="rect">
                                <a:avLst/>
                              </a:prstGeom>
                              <a:solidFill>
                                <a:srgbClr val="F79820"/>
                              </a:solidFill>
                              <a:ln w="9525">
                                <a:noFill/>
                                <a:miter lim="800000"/>
                                <a:headEnd/>
                                <a:tailEnd/>
                              </a:ln>
                            </wps:spPr>
                            <wps:txbx>
                              <w:txbxContent>
                                <w:p w:rsidR="001B3CA8" w:rsidRPr="00295D86" w:rsidRDefault="001B3CA8" w:rsidP="002305E3">
                                  <w:pPr>
                                    <w:shd w:val="clear" w:color="auto" w:fill="F79820"/>
                                    <w:spacing w:after="0"/>
                                    <w:jc w:val="center"/>
                                    <w:rPr>
                                      <w:b/>
                                      <w:color w:val="FFFFFF" w:themeColor="background1"/>
                                      <w:sz w:val="18"/>
                                      <w:szCs w:val="18"/>
                                    </w:rPr>
                                  </w:pPr>
                                  <w:proofErr w:type="spellStart"/>
                                  <w:r w:rsidRPr="00295D86">
                                    <w:rPr>
                                      <w:b/>
                                      <w:color w:val="FFFFFF" w:themeColor="background1"/>
                                      <w:sz w:val="18"/>
                                      <w:szCs w:val="18"/>
                                    </w:rPr>
                                    <w:t>KRA</w:t>
                                  </w:r>
                                  <w:proofErr w:type="spellEnd"/>
                                  <w:r w:rsidRPr="00295D86">
                                    <w:rPr>
                                      <w:b/>
                                      <w:color w:val="FFFFFF" w:themeColor="background1"/>
                                      <w:sz w:val="18"/>
                                      <w:szCs w:val="18"/>
                                    </w:rPr>
                                    <w:t xml:space="preserve"> </w:t>
                                  </w:r>
                                  <w:r w:rsidRPr="00295D86">
                                    <w:rPr>
                                      <w:b/>
                                      <w:color w:val="FFFFFF" w:themeColor="background1"/>
                                      <w:sz w:val="18"/>
                                      <w:szCs w:val="18"/>
                                    </w:rPr>
                                    <w:br/>
                                  </w:r>
                                  <w:r>
                                    <w:rPr>
                                      <w:b/>
                                      <w:color w:val="FFFFFF" w:themeColor="background1"/>
                                      <w:sz w:val="18"/>
                                      <w:szCs w:val="18"/>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B7748F" id="Text Box 7" o:spid="_x0000_s1027" type="#_x0000_t202" style="position:absolute;margin-left:.05pt;margin-top:9.2pt;width:36.85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" fillcolor="#f79820" stroked="f">
                      <v:textbox>
                        <w:txbxContent>
                          <w:p w:rsidR="001B3CA8" w:rsidRPr="00295D86" w:rsidRDefault="001B3CA8" w:rsidP="002305E3">
                            <w:pPr>
                              <w:shd w:val="clear" w:color="auto" w:fill="F79820"/>
                              <w:spacing w:after="0"/>
                              <w:jc w:val="center"/>
                              <w:rPr>
                                <w:b/>
                                <w:color w:val="FFFFFF" w:themeColor="background1"/>
                                <w:sz w:val="18"/>
                                <w:szCs w:val="18"/>
                              </w:rPr>
                            </w:pPr>
                            <w:proofErr w:type="spellStart"/>
                            <w:r w:rsidRPr="00295D86">
                              <w:rPr>
                                <w:b/>
                                <w:color w:val="FFFFFF" w:themeColor="background1"/>
                                <w:sz w:val="18"/>
                                <w:szCs w:val="18"/>
                              </w:rPr>
                              <w:t>KRA</w:t>
                            </w:r>
                            <w:proofErr w:type="spellEnd"/>
                            <w:r w:rsidRPr="00295D86">
                              <w:rPr>
                                <w:b/>
                                <w:color w:val="FFFFFF" w:themeColor="background1"/>
                                <w:sz w:val="18"/>
                                <w:szCs w:val="18"/>
                              </w:rPr>
                              <w:t xml:space="preserve"> </w:t>
                            </w:r>
                            <w:r w:rsidRPr="00295D86">
                              <w:rPr>
                                <w:b/>
                                <w:color w:val="FFFFFF" w:themeColor="background1"/>
                                <w:sz w:val="18"/>
                                <w:szCs w:val="18"/>
                              </w:rPr>
                              <w:br/>
                            </w:r>
                            <w:r>
                              <w:rPr>
                                <w:b/>
                                <w:color w:val="FFFFFF" w:themeColor="background1"/>
                                <w:sz w:val="18"/>
                                <w:szCs w:val="18"/>
                              </w:rPr>
                              <w:t>2</w:t>
                            </w:r>
                          </w:p>
                        </w:txbxContent>
                      </v:textbox>
                    </v:shape>
                  </w:pict>
                </mc:Fallback>
              </mc:AlternateContent>
            </w:r>
          </w:p>
        </w:tc>
        <w:tc>
          <w:tcPr>
            <w:tcW w:w="6668" w:type="dxa"/>
          </w:tcPr>
          <w:p w:rsidR="00295D86" w:rsidRPr="00295D86" w:rsidRDefault="00295D86" w:rsidP="00295D86">
            <w:pPr>
              <w:spacing w:after="120"/>
              <w:rPr>
                <w:b/>
              </w:rPr>
            </w:pPr>
            <w:r w:rsidRPr="00295D86">
              <w:rPr>
                <w:b/>
              </w:rPr>
              <w:t xml:space="preserve">That consumer, citizen and audience safeguards are effective, </w:t>
            </w:r>
            <w:r w:rsidR="00F21AC6">
              <w:rPr>
                <w:b/>
              </w:rPr>
              <w:t xml:space="preserve">and </w:t>
            </w:r>
            <w:r w:rsidRPr="00295D86">
              <w:rPr>
                <w:b/>
              </w:rPr>
              <w:t>reflect community standards; and that national safety and security interests are appropriately supported in planning and delivery of communications services.</w:t>
            </w:r>
          </w:p>
        </w:tc>
      </w:tr>
      <w:tr w:rsidR="00295D86" w:rsidTr="00085A9D">
        <w:tc>
          <w:tcPr>
            <w:tcW w:w="993" w:type="dxa"/>
          </w:tcPr>
          <w:p w:rsidR="00295D86" w:rsidRDefault="00295D86" w:rsidP="00DF769C">
            <w:pPr>
              <w:spacing w:after="80"/>
            </w:pPr>
            <w:r>
              <w:rPr>
                <w:noProof/>
              </w:rPr>
              <mc:AlternateContent>
                <mc:Choice Requires="wps">
                  <w:drawing>
                    <wp:inline distT="0" distB="0" distL="0" distR="0" wp14:anchorId="1DB14F47" wp14:editId="363B228C">
                      <wp:extent cx="469265" cy="414020"/>
                      <wp:effectExtent l="0" t="0" r="26035" b="2413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414020"/>
                              </a:xfrm>
                              <a:prstGeom prst="rect">
                                <a:avLst/>
                              </a:prstGeom>
                              <a:solidFill>
                                <a:srgbClr val="6F2E8F"/>
                              </a:solidFill>
                              <a:ln w="9525">
                                <a:solidFill>
                                  <a:srgbClr val="6F2E8F"/>
                                </a:solidFill>
                                <a:miter lim="800000"/>
                                <a:headEnd/>
                                <a:tailEnd/>
                              </a:ln>
                            </wps:spPr>
                            <wps:txbx>
                              <w:txbxContent>
                                <w:p w:rsidR="001B3CA8" w:rsidRPr="00295D86" w:rsidRDefault="001B3CA8" w:rsidP="002305E3">
                                  <w:pPr>
                                    <w:shd w:val="clear" w:color="auto" w:fill="6F2E8F"/>
                                    <w:spacing w:after="0"/>
                                    <w:jc w:val="center"/>
                                    <w:rPr>
                                      <w:b/>
                                      <w:color w:val="FFFFFF" w:themeColor="background1"/>
                                      <w:sz w:val="18"/>
                                      <w:szCs w:val="18"/>
                                    </w:rPr>
                                  </w:pPr>
                                  <w:proofErr w:type="spellStart"/>
                                  <w:r w:rsidRPr="00295D86">
                                    <w:rPr>
                                      <w:b/>
                                      <w:color w:val="FFFFFF" w:themeColor="background1"/>
                                      <w:sz w:val="18"/>
                                      <w:szCs w:val="18"/>
                                    </w:rPr>
                                    <w:t>KRA</w:t>
                                  </w:r>
                                  <w:proofErr w:type="spellEnd"/>
                                  <w:r w:rsidRPr="00295D86">
                                    <w:rPr>
                                      <w:b/>
                                      <w:color w:val="FFFFFF" w:themeColor="background1"/>
                                      <w:sz w:val="18"/>
                                      <w:szCs w:val="18"/>
                                    </w:rPr>
                                    <w:t xml:space="preserve"> </w:t>
                                  </w:r>
                                  <w:r w:rsidRPr="00295D86">
                                    <w:rPr>
                                      <w:b/>
                                      <w:color w:val="FFFFFF" w:themeColor="background1"/>
                                      <w:sz w:val="18"/>
                                      <w:szCs w:val="18"/>
                                    </w:rPr>
                                    <w:br/>
                                  </w:r>
                                  <w:r>
                                    <w:rPr>
                                      <w:b/>
                                      <w:color w:val="FFFFFF" w:themeColor="background1"/>
                                      <w:sz w:val="18"/>
                                      <w:szCs w:val="18"/>
                                    </w:rPr>
                                    <w:t>3</w:t>
                                  </w:r>
                                </w:p>
                              </w:txbxContent>
                            </wps:txbx>
                            <wps:bodyPr rot="0" vert="horz" wrap="square" lIns="91440" tIns="45720" rIns="91440" bIns="45720" anchor="ctr" anchorCtr="0">
                              <a:noAutofit/>
                            </wps:bodyPr>
                          </wps:wsp>
                        </a:graphicData>
                      </a:graphic>
                    </wp:inline>
                  </w:drawing>
                </mc:Choice>
                <mc:Fallback>
                  <w:pict>
                    <v:shape w14:anchorId="1DB14F47" id="Text Box 8" o:spid="_x0000_s1028" type="#_x0000_t202" style="width:36.95pt;height:3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" fillcolor="#6f2e8f" strokecolor="#6f2e8f">
                      <v:textbox>
                        <w:txbxContent>
                          <w:p w:rsidR="001B3CA8" w:rsidRPr="00295D86" w:rsidRDefault="001B3CA8" w:rsidP="002305E3">
                            <w:pPr>
                              <w:shd w:val="clear" w:color="auto" w:fill="6F2E8F"/>
                              <w:spacing w:after="0"/>
                              <w:jc w:val="center"/>
                              <w:rPr>
                                <w:b/>
                                <w:color w:val="FFFFFF" w:themeColor="background1"/>
                                <w:sz w:val="18"/>
                                <w:szCs w:val="18"/>
                              </w:rPr>
                            </w:pPr>
                            <w:proofErr w:type="spellStart"/>
                            <w:r w:rsidRPr="00295D86">
                              <w:rPr>
                                <w:b/>
                                <w:color w:val="FFFFFF" w:themeColor="background1"/>
                                <w:sz w:val="18"/>
                                <w:szCs w:val="18"/>
                              </w:rPr>
                              <w:t>KRA</w:t>
                            </w:r>
                            <w:proofErr w:type="spellEnd"/>
                            <w:r w:rsidRPr="00295D86">
                              <w:rPr>
                                <w:b/>
                                <w:color w:val="FFFFFF" w:themeColor="background1"/>
                                <w:sz w:val="18"/>
                                <w:szCs w:val="18"/>
                              </w:rPr>
                              <w:t xml:space="preserve"> </w:t>
                            </w:r>
                            <w:r w:rsidRPr="00295D86">
                              <w:rPr>
                                <w:b/>
                                <w:color w:val="FFFFFF" w:themeColor="background1"/>
                                <w:sz w:val="18"/>
                                <w:szCs w:val="18"/>
                              </w:rPr>
                              <w:br/>
                            </w:r>
                            <w:r>
                              <w:rPr>
                                <w:b/>
                                <w:color w:val="FFFFFF" w:themeColor="background1"/>
                                <w:sz w:val="18"/>
                                <w:szCs w:val="18"/>
                              </w:rPr>
                              <w:t>3</w:t>
                            </w:r>
                          </w:p>
                        </w:txbxContent>
                      </v:textbox>
                      <w10:anchorlock/>
                    </v:shape>
                  </w:pict>
                </mc:Fallback>
              </mc:AlternateContent>
            </w:r>
          </w:p>
        </w:tc>
        <w:tc>
          <w:tcPr>
            <w:tcW w:w="6668" w:type="dxa"/>
          </w:tcPr>
          <w:p w:rsidR="00295D86" w:rsidRPr="00295D86" w:rsidRDefault="00295D86" w:rsidP="004270DE">
            <w:pPr>
              <w:spacing w:after="80"/>
              <w:rPr>
                <w:b/>
              </w:rPr>
            </w:pPr>
            <w:r w:rsidRPr="00295D86">
              <w:rPr>
                <w:b/>
              </w:rPr>
              <w:t>That the ACMA is an increasingly resilient, agile, efficient and knowledge-based organisation; and that regulatory settings are efficient</w:t>
            </w:r>
            <w:r w:rsidR="004270DE">
              <w:rPr>
                <w:b/>
              </w:rPr>
              <w:t xml:space="preserve">, </w:t>
            </w:r>
            <w:r w:rsidRPr="00295D86">
              <w:rPr>
                <w:b/>
              </w:rPr>
              <w:t>effective</w:t>
            </w:r>
            <w:r w:rsidR="004270DE">
              <w:rPr>
                <w:b/>
              </w:rPr>
              <w:t xml:space="preserve"> and evidence-informed.</w:t>
            </w:r>
          </w:p>
        </w:tc>
      </w:tr>
    </w:tbl>
    <w:p w:rsidR="00DF769C" w:rsidRDefault="00DF769C" w:rsidP="0064210B">
      <w:pPr>
        <w:pStyle w:val="ACMASpaceaftertable"/>
        <w:spacing w:after="0"/>
      </w:pPr>
    </w:p>
    <w:p w:rsidR="00DF769C" w:rsidRDefault="00DF769C" w:rsidP="00DF769C">
      <w:r>
        <w:t xml:space="preserve">The ACMA’s </w:t>
      </w:r>
      <w:proofErr w:type="spellStart"/>
      <w:r>
        <w:t>KRAs</w:t>
      </w:r>
      <w:proofErr w:type="spellEnd"/>
      <w:r>
        <w:t xml:space="preserve"> align with the outcomes described in its </w:t>
      </w:r>
      <w:r w:rsidR="00007989">
        <w:t>P</w:t>
      </w:r>
      <w:r w:rsidRPr="00007989">
        <w:t xml:space="preserve">ortfolio </w:t>
      </w:r>
      <w:r w:rsidR="00007989">
        <w:t>B</w:t>
      </w:r>
      <w:r w:rsidRPr="00007989">
        <w:t xml:space="preserve">udget </w:t>
      </w:r>
      <w:r w:rsidR="00007989">
        <w:t>S</w:t>
      </w:r>
      <w:r w:rsidRPr="00007989">
        <w:t>tatements</w:t>
      </w:r>
      <w:r>
        <w:t xml:space="preserve"> for program</w:t>
      </w:r>
      <w:r w:rsidR="00F21AC6">
        <w:t>s</w:t>
      </w:r>
      <w:r>
        <w:t xml:space="preserve"> 1.1 and 1.2 .The priorities and performance targets that assess the ACMA’s progress in meeting the </w:t>
      </w:r>
      <w:proofErr w:type="spellStart"/>
      <w:r>
        <w:t>KRAs</w:t>
      </w:r>
      <w:proofErr w:type="spellEnd"/>
      <w:r>
        <w:t xml:space="preserve"> are also aligned with the performance measures in these programs. Figure 1 maps this relationship in more detail.</w:t>
      </w:r>
    </w:p>
    <w:p w:rsidR="00DF769C" w:rsidRDefault="00DF769C" w:rsidP="00DF769C">
      <w:r>
        <w:t xml:space="preserve">Performance targets have been designed to be fit-for-purpose and combine to provide a detailed demonstration of the ACMA’s performance in achieving the outcomes </w:t>
      </w:r>
      <w:r w:rsidRPr="00007989">
        <w:t xml:space="preserve">sought </w:t>
      </w:r>
      <w:r w:rsidR="00537F8E">
        <w:t>under</w:t>
      </w:r>
      <w:r>
        <w:t xml:space="preserve"> the </w:t>
      </w:r>
      <w:proofErr w:type="spellStart"/>
      <w:r>
        <w:t>KRAs</w:t>
      </w:r>
      <w:proofErr w:type="spellEnd"/>
      <w:r>
        <w:t>. For this reason, targets include both quantitative measures and qualitative evidence that together provide a complete account of the ACMA’s performance. Setting targets across the next four years allows the ACMA to account for its performance in areas with longer time</w:t>
      </w:r>
      <w:r w:rsidR="00EA4B86">
        <w:t xml:space="preserve"> </w:t>
      </w:r>
      <w:r>
        <w:t>frames. Annual performance targets acknowledge the continued importance of effectively managing operational business-as-usual activities.</w:t>
      </w:r>
    </w:p>
    <w:p w:rsidR="00DF769C" w:rsidRDefault="00DF769C" w:rsidP="00DF769C">
      <w:r>
        <w:t>Over the next few years, as part of its commitment to continuous improvement, the ACMA will undertake further benchmarking and revision of the performance targets to develop more refined targets for future performance reporting.</w:t>
      </w:r>
    </w:p>
    <w:p w:rsidR="00DF769C" w:rsidRDefault="00DF769C" w:rsidP="00DF769C">
      <w:r>
        <w:t xml:space="preserve">This corporate plan outlines specific programs and projects that comprise key elements of the ACMA’s annual work program for the 2016–17 period. It also identifies </w:t>
      </w:r>
      <w:r>
        <w:lastRenderedPageBreak/>
        <w:t xml:space="preserve">the major programs and projects that the ACMA anticipates delivering in the next four years that will contribute to the achievement of </w:t>
      </w:r>
      <w:r w:rsidRPr="003E3B85">
        <w:t>outcomes</w:t>
      </w:r>
      <w:r w:rsidR="00085A9D">
        <w:t xml:space="preserve"> for each </w:t>
      </w:r>
      <w:proofErr w:type="spellStart"/>
      <w:r>
        <w:t>KRA</w:t>
      </w:r>
      <w:proofErr w:type="spellEnd"/>
      <w:r>
        <w:t>.</w:t>
      </w:r>
    </w:p>
    <w:p w:rsidR="00DF769C" w:rsidRPr="00D7290A" w:rsidRDefault="00DF769C" w:rsidP="00DF769C">
      <w:pPr>
        <w:pStyle w:val="Heading2"/>
      </w:pPr>
      <w:bookmarkStart w:id="24" w:name="_Toc457898841"/>
      <w:r w:rsidRPr="00D7290A">
        <w:t>Regulator Performance Framework</w:t>
      </w:r>
      <w:bookmarkEnd w:id="24"/>
    </w:p>
    <w:p w:rsidR="00DF769C" w:rsidRDefault="00DF769C" w:rsidP="00DF769C">
      <w:pPr>
        <w:spacing w:after="80"/>
      </w:pPr>
      <w:r>
        <w:t>As part of the g</w:t>
      </w:r>
      <w:r w:rsidRPr="00A7658E">
        <w:t>overnment’s deregulation agenda</w:t>
      </w:r>
      <w:r>
        <w:t xml:space="preserve">, the </w:t>
      </w:r>
      <w:proofErr w:type="spellStart"/>
      <w:r>
        <w:t>RPF</w:t>
      </w:r>
      <w:proofErr w:type="spellEnd"/>
      <w:r w:rsidRPr="00A7658E">
        <w:t xml:space="preserve"> </w:t>
      </w:r>
      <w:r>
        <w:t xml:space="preserve">was developed </w:t>
      </w:r>
      <w:r w:rsidRPr="00A7658E">
        <w:t xml:space="preserve">to measure the </w:t>
      </w:r>
      <w:r w:rsidRPr="008845A1">
        <w:t>efficiency</w:t>
      </w:r>
      <w:r>
        <w:t xml:space="preserve"> and effectiveness</w:t>
      </w:r>
      <w:r w:rsidRPr="008845A1">
        <w:t xml:space="preserve"> with which regulators undertake their roles, and in particular</w:t>
      </w:r>
      <w:r>
        <w:t>,</w:t>
      </w:r>
      <w:r w:rsidRPr="008845A1">
        <w:t xml:space="preserve"> their impact on regulated entities.</w:t>
      </w:r>
      <w:r>
        <w:t xml:space="preserve"> This new framework commenced in July 2015, and the ACMA’s first self-assessment report will be published in late 2016. The framework encourages regulators to:</w:t>
      </w:r>
    </w:p>
    <w:p w:rsidR="00DF769C" w:rsidRPr="00B7470C" w:rsidRDefault="00DF769C" w:rsidP="00DF769C">
      <w:pPr>
        <w:pStyle w:val="ListBullet"/>
      </w:pPr>
      <w:r w:rsidRPr="00B7470C">
        <w:t>minimise the impact of regulatory burden</w:t>
      </w:r>
      <w:r>
        <w:t xml:space="preserve"> on regulated communities</w:t>
      </w:r>
    </w:p>
    <w:p w:rsidR="00DF769C" w:rsidRDefault="00DF769C" w:rsidP="00DF769C">
      <w:pPr>
        <w:pStyle w:val="ListBullet"/>
      </w:pPr>
      <w:r w:rsidRPr="00B7470C">
        <w:t>increase</w:t>
      </w:r>
      <w:r>
        <w:t xml:space="preserve"> their transparency and accountability</w:t>
      </w:r>
    </w:p>
    <w:p w:rsidR="00DF769C" w:rsidRDefault="00DF769C" w:rsidP="00030495">
      <w:pPr>
        <w:pStyle w:val="ListBulletLast"/>
      </w:pPr>
      <w:proofErr w:type="gramStart"/>
      <w:r>
        <w:t>focus</w:t>
      </w:r>
      <w:proofErr w:type="gramEnd"/>
      <w:r>
        <w:t xml:space="preserve"> on continuous improvement of </w:t>
      </w:r>
      <w:r w:rsidRPr="00D7290A">
        <w:t>regulatory</w:t>
      </w:r>
      <w:r>
        <w:t xml:space="preserve"> frameworks.</w:t>
      </w:r>
    </w:p>
    <w:p w:rsidR="00DF769C" w:rsidRDefault="00DF769C" w:rsidP="00030495">
      <w:pPr>
        <w:spacing w:after="80"/>
      </w:pPr>
      <w:r>
        <w:t>This is achieved through assessing regulator performance against six key performance indicators</w:t>
      </w:r>
      <w:r w:rsidR="00EA4B86">
        <w:t xml:space="preserve"> (</w:t>
      </w:r>
      <w:proofErr w:type="spellStart"/>
      <w:r w:rsidR="00EA4B86">
        <w:t>KPIs</w:t>
      </w:r>
      <w:proofErr w:type="spellEnd"/>
      <w:r w:rsidR="00EA4B86">
        <w:t>)</w:t>
      </w:r>
      <w:r>
        <w:t>:</w:t>
      </w:r>
    </w:p>
    <w:p w:rsidR="00DF769C" w:rsidRDefault="00DF769C" w:rsidP="005065CD">
      <w:pPr>
        <w:pStyle w:val="ListNumber"/>
        <w:numPr>
          <w:ilvl w:val="0"/>
          <w:numId w:val="10"/>
        </w:numPr>
      </w:pPr>
      <w:proofErr w:type="spellStart"/>
      <w:r>
        <w:t>KPI</w:t>
      </w:r>
      <w:proofErr w:type="spellEnd"/>
      <w:r>
        <w:t xml:space="preserve"> 1: Regulators do not unnecessarily impede the efficient operation of regulated entities</w:t>
      </w:r>
    </w:p>
    <w:p w:rsidR="00DF769C" w:rsidRDefault="00DF769C" w:rsidP="005065CD">
      <w:pPr>
        <w:pStyle w:val="ListNumber"/>
        <w:numPr>
          <w:ilvl w:val="0"/>
          <w:numId w:val="10"/>
        </w:numPr>
      </w:pPr>
      <w:proofErr w:type="spellStart"/>
      <w:r>
        <w:t>KPI</w:t>
      </w:r>
      <w:proofErr w:type="spellEnd"/>
      <w:r>
        <w:t xml:space="preserve"> 2: Communication with regulated entities is clear, targeted and effective</w:t>
      </w:r>
    </w:p>
    <w:p w:rsidR="00DF769C" w:rsidRDefault="00DF769C" w:rsidP="005065CD">
      <w:pPr>
        <w:pStyle w:val="ListNumber"/>
        <w:numPr>
          <w:ilvl w:val="0"/>
          <w:numId w:val="10"/>
        </w:numPr>
      </w:pPr>
      <w:proofErr w:type="spellStart"/>
      <w:r>
        <w:t>KPI</w:t>
      </w:r>
      <w:proofErr w:type="spellEnd"/>
      <w:r>
        <w:t xml:space="preserve"> 3: Actions undertaken by regulators are proportionate to the regulatory risk being managed</w:t>
      </w:r>
    </w:p>
    <w:p w:rsidR="00DF769C" w:rsidRDefault="00DF769C" w:rsidP="005065CD">
      <w:pPr>
        <w:pStyle w:val="ListNumber"/>
        <w:numPr>
          <w:ilvl w:val="0"/>
          <w:numId w:val="10"/>
        </w:numPr>
      </w:pPr>
      <w:proofErr w:type="spellStart"/>
      <w:r>
        <w:t>KPI</w:t>
      </w:r>
      <w:proofErr w:type="spellEnd"/>
      <w:r>
        <w:t xml:space="preserve"> 4: Compliance and monitoring approaches are streamlined and coordinated</w:t>
      </w:r>
    </w:p>
    <w:p w:rsidR="00DF769C" w:rsidRDefault="00DF769C" w:rsidP="005065CD">
      <w:pPr>
        <w:pStyle w:val="ListNumber"/>
        <w:numPr>
          <w:ilvl w:val="0"/>
          <w:numId w:val="10"/>
        </w:numPr>
      </w:pPr>
      <w:proofErr w:type="spellStart"/>
      <w:r>
        <w:t>KPI</w:t>
      </w:r>
      <w:proofErr w:type="spellEnd"/>
      <w:r>
        <w:t xml:space="preserve"> 5: Regulators are open and transparent in their dealing with regulated entities</w:t>
      </w:r>
    </w:p>
    <w:p w:rsidR="00DF769C" w:rsidRDefault="00DF769C" w:rsidP="00030495">
      <w:pPr>
        <w:pStyle w:val="ListNumber"/>
        <w:numPr>
          <w:ilvl w:val="0"/>
          <w:numId w:val="10"/>
        </w:numPr>
        <w:spacing w:after="240"/>
      </w:pPr>
      <w:proofErr w:type="spellStart"/>
      <w:r>
        <w:t>KPI</w:t>
      </w:r>
      <w:proofErr w:type="spellEnd"/>
      <w:r>
        <w:t xml:space="preserve"> 6: Regulators actively contribute to the continuous improvement of regulatory frameworks</w:t>
      </w:r>
      <w:r w:rsidR="00EA4B86">
        <w:t>.</w:t>
      </w:r>
    </w:p>
    <w:p w:rsidR="00DF769C" w:rsidRDefault="00DF769C" w:rsidP="00DF769C">
      <w:r>
        <w:t xml:space="preserve">While the </w:t>
      </w:r>
      <w:proofErr w:type="spellStart"/>
      <w:r>
        <w:t>RPF</w:t>
      </w:r>
      <w:proofErr w:type="spellEnd"/>
      <w:r>
        <w:t xml:space="preserve"> focuses on regulatory </w:t>
      </w:r>
      <w:r w:rsidRPr="00DB6AB0">
        <w:t>efficiency and effectiveness</w:t>
      </w:r>
      <w:r>
        <w:t xml:space="preserve">, </w:t>
      </w:r>
      <w:r w:rsidR="00231C61">
        <w:t>performance-reporting</w:t>
      </w:r>
      <w:r>
        <w:t xml:space="preserve"> requirements under the </w:t>
      </w:r>
      <w:proofErr w:type="spellStart"/>
      <w:r w:rsidRPr="00DB6AB0">
        <w:t>PGPA</w:t>
      </w:r>
      <w:proofErr w:type="spellEnd"/>
      <w:r w:rsidRPr="00DB6AB0">
        <w:t xml:space="preserve"> Act</w:t>
      </w:r>
      <w:r>
        <w:t xml:space="preserve"> require </w:t>
      </w:r>
      <w:r w:rsidRPr="00DB6AB0">
        <w:t>a broader assessment of the effectiveness of Commonwealth entities in achieving policy outcomes. Both aim to increase the accountability and transparency of government entities</w:t>
      </w:r>
      <w:r>
        <w:t xml:space="preserve"> and make </w:t>
      </w:r>
      <w:r w:rsidRPr="00DB6AB0">
        <w:t>information clear, objective and publicly available.</w:t>
      </w:r>
      <w:r>
        <w:t xml:space="preserve"> The ACMA has integrated the requirements of the </w:t>
      </w:r>
      <w:proofErr w:type="spellStart"/>
      <w:r>
        <w:t>RPF</w:t>
      </w:r>
      <w:proofErr w:type="spellEnd"/>
      <w:r>
        <w:t xml:space="preserve"> with our broader corporate performance reporting activities as outlined in Figure 1 below.</w:t>
      </w:r>
    </w:p>
    <w:p w:rsidR="00CF41E1" w:rsidRDefault="00420185" w:rsidP="00CF41E1">
      <w:pPr>
        <w:pStyle w:val="ACMAFigureHeader"/>
        <w:keepNext/>
      </w:pPr>
      <w:r>
        <w:lastRenderedPageBreak/>
        <w:t xml:space="preserve">The </w:t>
      </w:r>
      <w:r w:rsidR="00DF769C">
        <w:t>ACMA’s performance management framework</w:t>
      </w:r>
    </w:p>
    <w:p w:rsidR="00DF769C" w:rsidRDefault="004270DE" w:rsidP="00DF769C">
      <w:pPr>
        <w:pStyle w:val="Captionfigure"/>
        <w:numPr>
          <w:ilvl w:val="0"/>
          <w:numId w:val="0"/>
        </w:numPr>
        <w:ind w:left="1021" w:hanging="1021"/>
      </w:pPr>
      <w:r>
        <w:rPr>
          <w:noProof/>
        </w:rPr>
        <w:drawing>
          <wp:inline distT="0" distB="0" distL="0" distR="0" wp14:anchorId="461C4093" wp14:editId="44E62909">
            <wp:extent cx="6158073" cy="7401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formance management framework.jpg"/>
                    <pic:cNvPicPr/>
                  </pic:nvPicPr>
                  <pic:blipFill rotWithShape="1">
                    <a:blip r:embed="rId25">
                      <a:extLst>
                        <a:ext uri="{28A0092B-C50C-407E-A947-70E740481C1C}">
                          <a14:useLocalDpi xmlns:a14="http://schemas.microsoft.com/office/drawing/2010/main" val="0"/>
                        </a:ext>
                      </a:extLst>
                    </a:blip>
                    <a:srcRect l="15053"/>
                    <a:stretch/>
                  </pic:blipFill>
                  <pic:spPr bwMode="auto">
                    <a:xfrm>
                      <a:off x="0" y="0"/>
                      <a:ext cx="6160905" cy="7404869"/>
                    </a:xfrm>
                    <a:prstGeom prst="rect">
                      <a:avLst/>
                    </a:prstGeom>
                    <a:ln>
                      <a:noFill/>
                    </a:ln>
                    <a:extLst>
                      <a:ext uri="{53640926-AAD7-44D8-BBD7-CCE9431645EC}">
                        <a14:shadowObscured xmlns:a14="http://schemas.microsoft.com/office/drawing/2010/main"/>
                      </a:ext>
                    </a:extLst>
                  </pic:spPr>
                </pic:pic>
              </a:graphicData>
            </a:graphic>
          </wp:inline>
        </w:drawing>
      </w:r>
    </w:p>
    <w:p w:rsidR="00DF769C" w:rsidRDefault="00DF769C" w:rsidP="00DF769C"/>
    <w:p w:rsidR="009B4234" w:rsidRDefault="009B423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1266"/>
        <w:gridCol w:w="6405"/>
      </w:tblGrid>
      <w:tr w:rsidR="00070FB9" w:rsidTr="00AD6476">
        <w:tc>
          <w:tcPr>
            <w:tcW w:w="7671" w:type="dxa"/>
            <w:gridSpan w:val="2"/>
            <w:shd w:val="clear" w:color="auto" w:fill="3957A5"/>
          </w:tcPr>
          <w:p w:rsidR="00070FB9" w:rsidRPr="009B4234" w:rsidRDefault="00070FB9" w:rsidP="00AD6476">
            <w:pPr>
              <w:spacing w:after="120"/>
              <w:rPr>
                <w:b/>
                <w:sz w:val="28"/>
                <w:szCs w:val="28"/>
              </w:rPr>
            </w:pPr>
            <w:proofErr w:type="spellStart"/>
            <w:r w:rsidRPr="009B4234">
              <w:rPr>
                <w:b/>
                <w:color w:val="FFFFFF" w:themeColor="background1"/>
                <w:sz w:val="28"/>
                <w:szCs w:val="28"/>
              </w:rPr>
              <w:lastRenderedPageBreak/>
              <w:t>KRA</w:t>
            </w:r>
            <w:proofErr w:type="spellEnd"/>
            <w:r w:rsidRPr="009B4234">
              <w:rPr>
                <w:b/>
                <w:color w:val="FFFFFF" w:themeColor="background1"/>
                <w:sz w:val="28"/>
                <w:szCs w:val="28"/>
              </w:rPr>
              <w:t xml:space="preserve"> </w:t>
            </w:r>
            <w:r>
              <w:rPr>
                <w:b/>
                <w:color w:val="FFFFFF" w:themeColor="background1"/>
                <w:sz w:val="28"/>
                <w:szCs w:val="28"/>
              </w:rPr>
              <w:t>1</w:t>
            </w:r>
          </w:p>
        </w:tc>
      </w:tr>
      <w:tr w:rsidR="00070FB9" w:rsidTr="00070FB9">
        <w:trPr>
          <w:trHeight w:val="1144"/>
        </w:trPr>
        <w:tc>
          <w:tcPr>
            <w:tcW w:w="1266" w:type="dxa"/>
          </w:tcPr>
          <w:p w:rsidR="00070FB9" w:rsidRDefault="00070FB9" w:rsidP="00AD6476">
            <w:pPr>
              <w:spacing w:after="0"/>
            </w:pPr>
            <w:r>
              <w:rPr>
                <w:noProof/>
              </w:rPr>
              <w:drawing>
                <wp:inline distT="0" distB="0" distL="0" distR="0" wp14:anchorId="4CC122BF" wp14:editId="285EE97B">
                  <wp:extent cx="666056" cy="7146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post-grey.png"/>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670229" cy="719092"/>
                          </a:xfrm>
                          <a:prstGeom prst="rect">
                            <a:avLst/>
                          </a:prstGeom>
                          <a:ln>
                            <a:noFill/>
                          </a:ln>
                          <a:extLst>
                            <a:ext uri="{53640926-AAD7-44D8-BBD7-CCE9431645EC}">
                              <a14:shadowObscured xmlns:a14="http://schemas.microsoft.com/office/drawing/2010/main"/>
                            </a:ext>
                          </a:extLst>
                        </pic:spPr>
                      </pic:pic>
                    </a:graphicData>
                  </a:graphic>
                </wp:inline>
              </w:drawing>
            </w:r>
          </w:p>
        </w:tc>
        <w:tc>
          <w:tcPr>
            <w:tcW w:w="6405" w:type="dxa"/>
          </w:tcPr>
          <w:p w:rsidR="00070FB9" w:rsidRDefault="00070FB9" w:rsidP="00AD6476">
            <w:pPr>
              <w:pStyle w:val="Heading2"/>
              <w:pageBreakBefore/>
              <w:spacing w:before="0" w:after="0"/>
              <w:outlineLvl w:val="1"/>
            </w:pPr>
            <w:bookmarkStart w:id="25" w:name="_Toc457898842"/>
            <w:r>
              <w:t>T</w:t>
            </w:r>
            <w:r w:rsidRPr="00C57C5C">
              <w:t xml:space="preserve">hat the </w:t>
            </w:r>
            <w:r w:rsidRPr="00933D13">
              <w:t>planning</w:t>
            </w:r>
            <w:r w:rsidRPr="00C57C5C">
              <w:t>, allocation and use of public resources maximises their value to the Australian community</w:t>
            </w:r>
            <w:bookmarkEnd w:id="25"/>
          </w:p>
        </w:tc>
      </w:tr>
    </w:tbl>
    <w:p w:rsidR="00F95885" w:rsidRDefault="00F95885" w:rsidP="00070FB9">
      <w:pPr>
        <w:spacing w:before="240"/>
      </w:pPr>
      <w:r w:rsidRPr="00101977">
        <w:t xml:space="preserve">The ACMA is the custodian of two public assets—the radiofrequency spectrum and telephone numbers—that are critical to Australia’s future economic growth and the well-being, safety and security of its citizens. </w:t>
      </w:r>
      <w:r w:rsidR="00085A9D">
        <w:t xml:space="preserve">The </w:t>
      </w:r>
      <w:r w:rsidR="00AB1C07">
        <w:t xml:space="preserve">ACMA’s </w:t>
      </w:r>
      <w:r w:rsidR="00AB1C07" w:rsidRPr="00101977">
        <w:t>public</w:t>
      </w:r>
      <w:r w:rsidRPr="00101977">
        <w:t xml:space="preserve"> resource management functions cover spectrum planning, allocation and licensing, and the allocation and issue of telephone numbers.</w:t>
      </w:r>
      <w:r>
        <w:t xml:space="preserve"> </w:t>
      </w:r>
    </w:p>
    <w:p w:rsidR="00F95885" w:rsidRDefault="00F95885" w:rsidP="00F95885">
      <w:r w:rsidRPr="00F679DA">
        <w:t>Driven in large part by the ongoing</w:t>
      </w:r>
      <w:r>
        <w:t xml:space="preserve"> digital</w:t>
      </w:r>
      <w:r w:rsidRPr="00F679DA">
        <w:t xml:space="preserve"> transformation of </w:t>
      </w:r>
      <w:r>
        <w:t>the economy</w:t>
      </w:r>
      <w:r w:rsidRPr="00F679DA">
        <w:t xml:space="preserve">, the uses and value of </w:t>
      </w:r>
      <w:r>
        <w:t xml:space="preserve">radiofrequency </w:t>
      </w:r>
      <w:r w:rsidRPr="00F679DA">
        <w:t xml:space="preserve">spectrum and particular ranges of telephone </w:t>
      </w:r>
      <w:r w:rsidR="00231C61" w:rsidRPr="00F679DA">
        <w:t>numbers</w:t>
      </w:r>
      <w:r w:rsidRPr="00F679DA">
        <w:t xml:space="preserve"> are changing rapidly. Against this background, </w:t>
      </w:r>
      <w:r>
        <w:t>the ACMA aims</w:t>
      </w:r>
      <w:r w:rsidRPr="00F679DA">
        <w:t xml:space="preserve"> to maximise the </w:t>
      </w:r>
      <w:r>
        <w:t xml:space="preserve">efficient allocation and use of these public resources. </w:t>
      </w:r>
      <w:r w:rsidRPr="00F679DA">
        <w:t xml:space="preserve"> </w:t>
      </w:r>
    </w:p>
    <w:p w:rsidR="00F95885" w:rsidRDefault="00F95885" w:rsidP="00030495">
      <w:pPr>
        <w:pStyle w:val="Heading3"/>
      </w:pPr>
      <w:bookmarkStart w:id="26" w:name="_Toc453682094"/>
      <w:bookmarkStart w:id="27" w:name="_Toc453828789"/>
      <w:bookmarkStart w:id="28" w:name="_Toc457898843"/>
      <w:r w:rsidRPr="00D217AF">
        <w:t>Priorities</w:t>
      </w:r>
      <w:bookmarkEnd w:id="26"/>
      <w:bookmarkEnd w:id="27"/>
      <w:bookmarkEnd w:id="28"/>
      <w:r>
        <w:t xml:space="preserve"> </w:t>
      </w:r>
    </w:p>
    <w:p w:rsidR="00F95885" w:rsidRDefault="00F95885" w:rsidP="00F95885">
      <w:pPr>
        <w:spacing w:after="80"/>
        <w:rPr>
          <w:b/>
          <w:sz w:val="28"/>
          <w:szCs w:val="28"/>
        </w:rPr>
      </w:pPr>
      <w:r>
        <w:t xml:space="preserve">The ACMA’s priorities for achieving the aims of </w:t>
      </w:r>
      <w:proofErr w:type="spellStart"/>
      <w:r>
        <w:t>KRA</w:t>
      </w:r>
      <w:proofErr w:type="spellEnd"/>
      <w:r>
        <w:t xml:space="preserve"> 1 are:</w:t>
      </w:r>
    </w:p>
    <w:p w:rsidR="00F95885" w:rsidRDefault="00F95885" w:rsidP="005065CD">
      <w:pPr>
        <w:pStyle w:val="ListNumber"/>
        <w:numPr>
          <w:ilvl w:val="0"/>
          <w:numId w:val="11"/>
        </w:numPr>
      </w:pPr>
      <w:r>
        <w:t>Effective planning and allocation for the efficient use of the radiofrequency spectrum.</w:t>
      </w:r>
    </w:p>
    <w:p w:rsidR="00F95885" w:rsidRDefault="00F95885" w:rsidP="00F95885">
      <w:pPr>
        <w:pStyle w:val="ListNumber"/>
      </w:pPr>
      <w:r>
        <w:t xml:space="preserve">Minimising unacceptable interference to </w:t>
      </w:r>
      <w:proofErr w:type="spellStart"/>
      <w:r>
        <w:t>radiocommunications</w:t>
      </w:r>
      <w:proofErr w:type="spellEnd"/>
      <w:r>
        <w:t xml:space="preserve"> services.</w:t>
      </w:r>
    </w:p>
    <w:p w:rsidR="00F95885" w:rsidRDefault="00F95885" w:rsidP="00030495">
      <w:pPr>
        <w:pStyle w:val="ListNumber"/>
        <w:spacing w:after="240"/>
      </w:pPr>
      <w:r>
        <w:t xml:space="preserve">Promoting efficiency and innovation in the administration of broadcast, telecommunications and </w:t>
      </w:r>
      <w:proofErr w:type="spellStart"/>
      <w:r>
        <w:t>radiocommunications</w:t>
      </w:r>
      <w:proofErr w:type="spellEnd"/>
      <w:r>
        <w:t xml:space="preserve"> licensing and number</w:t>
      </w:r>
      <w:r w:rsidR="00537F8E">
        <w:t xml:space="preserve">ing </w:t>
      </w:r>
      <w:r>
        <w:t>arrangements</w:t>
      </w:r>
      <w:r w:rsidR="00537F8E">
        <w:t>;</w:t>
      </w:r>
      <w:r>
        <w:t xml:space="preserve"> and </w:t>
      </w:r>
      <w:r w:rsidR="00537F8E">
        <w:t xml:space="preserve">promoting </w:t>
      </w:r>
      <w:r>
        <w:t xml:space="preserve">competition </w:t>
      </w:r>
      <w:r w:rsidRPr="00DA6DFC">
        <w:t>in the Australian</w:t>
      </w:r>
      <w:r>
        <w:t xml:space="preserve"> telecommunications and broadcasting industries.</w:t>
      </w:r>
    </w:p>
    <w:p w:rsidR="00F95885" w:rsidRDefault="00F95885" w:rsidP="00030495">
      <w:pPr>
        <w:pStyle w:val="Heading3"/>
      </w:pPr>
      <w:bookmarkStart w:id="29" w:name="_Toc453682095"/>
      <w:bookmarkStart w:id="30" w:name="_Toc453828790"/>
      <w:bookmarkStart w:id="31" w:name="_Toc457898844"/>
      <w:r>
        <w:t>Key activities contributing to annual work plan</w:t>
      </w:r>
      <w:bookmarkEnd w:id="29"/>
      <w:bookmarkEnd w:id="30"/>
      <w:bookmarkEnd w:id="31"/>
      <w:r>
        <w:t xml:space="preserve"> </w:t>
      </w:r>
    </w:p>
    <w:p w:rsidR="00F95885" w:rsidRPr="00007989" w:rsidRDefault="00F95885" w:rsidP="00F95885">
      <w:r>
        <w:t>T</w:t>
      </w:r>
      <w:r w:rsidRPr="00385464">
        <w:t>he key activities that the ACMA will conduct over the next four years</w:t>
      </w:r>
      <w:r w:rsidR="00E26B7D">
        <w:t xml:space="preserve"> to</w:t>
      </w:r>
      <w:r w:rsidRPr="00385464">
        <w:t xml:space="preserve"> support it in delivering </w:t>
      </w:r>
      <w:proofErr w:type="spellStart"/>
      <w:r w:rsidRPr="00385464">
        <w:t>KRA</w:t>
      </w:r>
      <w:proofErr w:type="spellEnd"/>
      <w:r w:rsidRPr="00385464">
        <w:t xml:space="preserve"> 1 outcomes are listed </w:t>
      </w:r>
      <w:r w:rsidR="00E26B7D">
        <w:t>in Table 1</w:t>
      </w:r>
      <w:r w:rsidRPr="00385464">
        <w:t xml:space="preserve">. This list comprises </w:t>
      </w:r>
      <w:r>
        <w:t xml:space="preserve">significant projects and programs, </w:t>
      </w:r>
      <w:r w:rsidRPr="00385464">
        <w:t xml:space="preserve">which </w:t>
      </w:r>
      <w:r>
        <w:t xml:space="preserve">will be </w:t>
      </w:r>
      <w:r w:rsidRPr="00007989">
        <w:t>undertaken in addition to the ACMA’s core business-as-usual activities.</w:t>
      </w:r>
    </w:p>
    <w:p w:rsidR="00684639" w:rsidRPr="006D24C2" w:rsidRDefault="00C11363" w:rsidP="00030495">
      <w:pPr>
        <w:pStyle w:val="ACMATableHeader"/>
      </w:pPr>
      <w:r w:rsidRPr="006D24C2">
        <w:t>K</w:t>
      </w:r>
      <w:r w:rsidR="00E26B7D" w:rsidRPr="006D24C2">
        <w:t>ey activities</w:t>
      </w:r>
      <w:r w:rsidRPr="006D24C2">
        <w:t xml:space="preserve"> to deliver </w:t>
      </w:r>
      <w:proofErr w:type="spellStart"/>
      <w:r w:rsidRPr="006D24C2">
        <w:t>KRA</w:t>
      </w:r>
      <w:proofErr w:type="spellEnd"/>
      <w:r w:rsidRPr="006D24C2">
        <w:t xml:space="preserve"> 1 outcomes—2016–17</w:t>
      </w:r>
    </w:p>
    <w:tbl>
      <w:tblPr>
        <w:tblStyle w:val="TableGrid"/>
        <w:tblW w:w="0" w:type="auto"/>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4832"/>
        <w:gridCol w:w="2829"/>
      </w:tblGrid>
      <w:tr w:rsidR="00F95885" w:rsidRPr="00014AAD" w:rsidTr="00AD6476">
        <w:trPr>
          <w:tblHeader/>
        </w:trPr>
        <w:tc>
          <w:tcPr>
            <w:tcW w:w="4832" w:type="dxa"/>
            <w:shd w:val="clear" w:color="auto" w:fill="3957A5"/>
          </w:tcPr>
          <w:p w:rsidR="00F95885" w:rsidRPr="00007989" w:rsidRDefault="00F95885" w:rsidP="00030495">
            <w:pPr>
              <w:pStyle w:val="TableHeading"/>
              <w:rPr>
                <w:color w:val="F2F2F2" w:themeColor="background1" w:themeShade="F2"/>
              </w:rPr>
            </w:pPr>
            <w:r w:rsidRPr="00007989">
              <w:rPr>
                <w:color w:val="F2F2F2" w:themeColor="background1" w:themeShade="F2"/>
              </w:rPr>
              <w:t>Project description</w:t>
            </w:r>
          </w:p>
        </w:tc>
        <w:tc>
          <w:tcPr>
            <w:tcW w:w="2829" w:type="dxa"/>
            <w:shd w:val="clear" w:color="auto" w:fill="3957A5"/>
          </w:tcPr>
          <w:p w:rsidR="00F95885" w:rsidRPr="00007989" w:rsidRDefault="00F95885" w:rsidP="00030495">
            <w:pPr>
              <w:pStyle w:val="TableHeading"/>
              <w:rPr>
                <w:color w:val="F2F2F2" w:themeColor="background1" w:themeShade="F2"/>
              </w:rPr>
            </w:pPr>
            <w:r w:rsidRPr="00007989">
              <w:rPr>
                <w:color w:val="F2F2F2" w:themeColor="background1" w:themeShade="F2"/>
              </w:rPr>
              <w:t>Proposed timings</w:t>
            </w:r>
          </w:p>
        </w:tc>
      </w:tr>
      <w:tr w:rsidR="00F95885" w:rsidTr="00ED168B">
        <w:tc>
          <w:tcPr>
            <w:tcW w:w="7661" w:type="dxa"/>
            <w:gridSpan w:val="2"/>
            <w:shd w:val="clear" w:color="auto" w:fill="F2F2F2" w:themeFill="background1" w:themeFillShade="F2"/>
          </w:tcPr>
          <w:p w:rsidR="00F95885" w:rsidRPr="006D24C2" w:rsidRDefault="00F95885" w:rsidP="00684639">
            <w:pPr>
              <w:pStyle w:val="TableBody"/>
            </w:pPr>
            <w:r w:rsidRPr="00007989">
              <w:rPr>
                <w:b/>
              </w:rPr>
              <w:t>Stakeholder engagement and consultation activities:</w:t>
            </w:r>
          </w:p>
        </w:tc>
      </w:tr>
      <w:tr w:rsidR="00F95885" w:rsidTr="00ED168B">
        <w:tc>
          <w:tcPr>
            <w:tcW w:w="4832" w:type="dxa"/>
          </w:tcPr>
          <w:p w:rsidR="00F95885" w:rsidRPr="00C57C5C" w:rsidRDefault="000D05F3" w:rsidP="000D05F3">
            <w:pPr>
              <w:pStyle w:val="TableBody"/>
              <w:ind w:left="170"/>
              <w:rPr>
                <w:b/>
                <w:caps/>
              </w:rPr>
            </w:pPr>
            <w:r>
              <w:t xml:space="preserve">Update </w:t>
            </w:r>
            <w:r w:rsidR="00F95885" w:rsidRPr="0078114B">
              <w:rPr>
                <w:i/>
              </w:rPr>
              <w:t xml:space="preserve">Five-year spectrum outlook 2016–20 </w:t>
            </w:r>
            <w:r w:rsidR="00F95885" w:rsidRPr="00C57C5C">
              <w:t>(</w:t>
            </w:r>
            <w:proofErr w:type="spellStart"/>
            <w:r w:rsidR="00F95885" w:rsidRPr="00C57C5C">
              <w:t>FYSO</w:t>
            </w:r>
            <w:proofErr w:type="spellEnd"/>
            <w:r w:rsidR="00F95885" w:rsidRPr="00C57C5C">
              <w:t>)</w:t>
            </w:r>
          </w:p>
        </w:tc>
        <w:tc>
          <w:tcPr>
            <w:tcW w:w="2829" w:type="dxa"/>
          </w:tcPr>
          <w:p w:rsidR="00F95885" w:rsidRPr="00C57C5C" w:rsidRDefault="00F95885" w:rsidP="00684639">
            <w:pPr>
              <w:pStyle w:val="TableBody"/>
              <w:rPr>
                <w:b/>
                <w:caps/>
              </w:rPr>
            </w:pPr>
            <w:r w:rsidRPr="00C57C5C">
              <w:t>July</w:t>
            </w:r>
            <w:r>
              <w:t>–</w:t>
            </w:r>
            <w:r w:rsidRPr="00C57C5C">
              <w:t>September 2016</w:t>
            </w:r>
          </w:p>
        </w:tc>
      </w:tr>
      <w:tr w:rsidR="00F95885" w:rsidTr="00ED168B">
        <w:tc>
          <w:tcPr>
            <w:tcW w:w="4832" w:type="dxa"/>
          </w:tcPr>
          <w:p w:rsidR="00F95885" w:rsidRPr="00C57C5C" w:rsidRDefault="00F95885" w:rsidP="000D05F3">
            <w:pPr>
              <w:pStyle w:val="TableBody"/>
              <w:ind w:left="170"/>
              <w:rPr>
                <w:b/>
                <w:caps/>
              </w:rPr>
            </w:pPr>
            <w:r w:rsidRPr="00C57C5C">
              <w:t xml:space="preserve">Update mobile broadband work program </w:t>
            </w:r>
          </w:p>
        </w:tc>
        <w:tc>
          <w:tcPr>
            <w:tcW w:w="2829" w:type="dxa"/>
          </w:tcPr>
          <w:p w:rsidR="00F95885" w:rsidRPr="00C57C5C" w:rsidRDefault="00F95885" w:rsidP="00684639">
            <w:pPr>
              <w:pStyle w:val="TableBody"/>
              <w:rPr>
                <w:b/>
                <w:caps/>
              </w:rPr>
            </w:pPr>
            <w:r w:rsidRPr="00C57C5C">
              <w:t>July–September 2016</w:t>
            </w:r>
          </w:p>
        </w:tc>
      </w:tr>
      <w:tr w:rsidR="00F95885" w:rsidTr="00ED168B">
        <w:tc>
          <w:tcPr>
            <w:tcW w:w="4832" w:type="dxa"/>
          </w:tcPr>
          <w:p w:rsidR="00F95885" w:rsidRPr="004270DE" w:rsidRDefault="004270DE" w:rsidP="000D05F3">
            <w:pPr>
              <w:pStyle w:val="TableBody"/>
              <w:ind w:left="170"/>
            </w:pPr>
            <w:r w:rsidRPr="004270DE">
              <w:t>Establish priority compliance areas (</w:t>
            </w:r>
            <w:proofErr w:type="spellStart"/>
            <w:r w:rsidRPr="004270DE">
              <w:t>PCAs</w:t>
            </w:r>
            <w:proofErr w:type="spellEnd"/>
            <w:r w:rsidRPr="004270DE">
              <w:t>)</w:t>
            </w:r>
          </w:p>
        </w:tc>
        <w:tc>
          <w:tcPr>
            <w:tcW w:w="2829" w:type="dxa"/>
          </w:tcPr>
          <w:p w:rsidR="00F95885" w:rsidRDefault="00F95885" w:rsidP="00684639">
            <w:pPr>
              <w:pStyle w:val="TableBody"/>
            </w:pPr>
            <w:r w:rsidRPr="00C57C5C">
              <w:rPr>
                <w:bCs/>
              </w:rPr>
              <w:t>July</w:t>
            </w:r>
            <w:r>
              <w:rPr>
                <w:bCs/>
              </w:rPr>
              <w:t>–</w:t>
            </w:r>
            <w:r w:rsidRPr="00C57C5C">
              <w:rPr>
                <w:bCs/>
              </w:rPr>
              <w:t>September 2016</w:t>
            </w:r>
          </w:p>
        </w:tc>
      </w:tr>
      <w:tr w:rsidR="00F95885" w:rsidTr="00ED168B">
        <w:tc>
          <w:tcPr>
            <w:tcW w:w="7661" w:type="dxa"/>
            <w:gridSpan w:val="2"/>
            <w:shd w:val="clear" w:color="auto" w:fill="F2F2F2" w:themeFill="background1" w:themeFillShade="F2"/>
          </w:tcPr>
          <w:p w:rsidR="00F95885" w:rsidRDefault="00F95885" w:rsidP="00684639">
            <w:pPr>
              <w:pStyle w:val="TableBody"/>
            </w:pPr>
            <w:r w:rsidRPr="00C57C5C">
              <w:rPr>
                <w:b/>
              </w:rPr>
              <w:t>Spectrum planning and allocation activities:</w:t>
            </w:r>
          </w:p>
        </w:tc>
      </w:tr>
      <w:tr w:rsidR="00F95885" w:rsidTr="00ED168B">
        <w:tc>
          <w:tcPr>
            <w:tcW w:w="4832" w:type="dxa"/>
          </w:tcPr>
          <w:p w:rsidR="00F95885" w:rsidRPr="006C482A" w:rsidRDefault="000D05F3" w:rsidP="000D05F3">
            <w:pPr>
              <w:pStyle w:val="TableBody"/>
              <w:ind w:left="170"/>
              <w:rPr>
                <w:bCs/>
              </w:rPr>
            </w:pPr>
            <w:r>
              <w:rPr>
                <w:bCs/>
              </w:rPr>
              <w:t>R</w:t>
            </w:r>
            <w:r w:rsidR="004270DE">
              <w:rPr>
                <w:bCs/>
              </w:rPr>
              <w:t xml:space="preserve">eview </w:t>
            </w:r>
            <w:r w:rsidR="00F95885">
              <w:rPr>
                <w:bCs/>
              </w:rPr>
              <w:t>1.5 GHz band</w:t>
            </w:r>
          </w:p>
        </w:tc>
        <w:tc>
          <w:tcPr>
            <w:tcW w:w="2829" w:type="dxa"/>
          </w:tcPr>
          <w:p w:rsidR="00F95885" w:rsidRPr="006C482A" w:rsidRDefault="00F95885" w:rsidP="00684639">
            <w:pPr>
              <w:pStyle w:val="TableBody"/>
            </w:pPr>
            <w:r w:rsidRPr="00C57C5C">
              <w:t>July</w:t>
            </w:r>
            <w:r>
              <w:t>–</w:t>
            </w:r>
            <w:r w:rsidRPr="00C57C5C">
              <w:t>September 2016</w:t>
            </w:r>
          </w:p>
        </w:tc>
      </w:tr>
      <w:tr w:rsidR="00F95885" w:rsidTr="00ED168B">
        <w:tc>
          <w:tcPr>
            <w:tcW w:w="4832" w:type="dxa"/>
          </w:tcPr>
          <w:p w:rsidR="00F95885" w:rsidRDefault="000D05F3" w:rsidP="004270DE">
            <w:pPr>
              <w:pStyle w:val="TableBody"/>
              <w:ind w:left="170"/>
              <w:rPr>
                <w:bCs/>
              </w:rPr>
            </w:pPr>
            <w:r>
              <w:t>R</w:t>
            </w:r>
            <w:r w:rsidR="00F95885" w:rsidRPr="006C482A">
              <w:t>eview 3.6</w:t>
            </w:r>
            <w:r w:rsidR="00F95885">
              <w:t> </w:t>
            </w:r>
            <w:r w:rsidR="00F95885" w:rsidRPr="006C482A">
              <w:t>GHz band</w:t>
            </w:r>
          </w:p>
        </w:tc>
        <w:tc>
          <w:tcPr>
            <w:tcW w:w="2829" w:type="dxa"/>
          </w:tcPr>
          <w:p w:rsidR="00F95885" w:rsidRDefault="00F95885" w:rsidP="00684639">
            <w:pPr>
              <w:pStyle w:val="TableBody"/>
              <w:rPr>
                <w:bCs/>
              </w:rPr>
            </w:pPr>
            <w:r>
              <w:t>January</w:t>
            </w:r>
            <w:r w:rsidRPr="006C482A">
              <w:t>–</w:t>
            </w:r>
            <w:r>
              <w:t>March</w:t>
            </w:r>
            <w:r w:rsidRPr="006C482A">
              <w:t xml:space="preserve"> 2017</w:t>
            </w:r>
          </w:p>
        </w:tc>
      </w:tr>
      <w:tr w:rsidR="00F95885" w:rsidTr="00ED168B">
        <w:tc>
          <w:tcPr>
            <w:tcW w:w="4832" w:type="dxa"/>
          </w:tcPr>
          <w:p w:rsidR="00F95885" w:rsidRPr="006C482A" w:rsidRDefault="00F95885" w:rsidP="006D24C2">
            <w:pPr>
              <w:pStyle w:val="TableBody"/>
              <w:ind w:left="170"/>
              <w:rPr>
                <w:bCs/>
              </w:rPr>
            </w:pPr>
            <w:r>
              <w:rPr>
                <w:bCs/>
              </w:rPr>
              <w:t>C</w:t>
            </w:r>
            <w:r w:rsidRPr="00C57C5C">
              <w:rPr>
                <w:bCs/>
              </w:rPr>
              <w:t>o</w:t>
            </w:r>
            <w:r>
              <w:rPr>
                <w:bCs/>
              </w:rPr>
              <w:t xml:space="preserve">nclude and publish review </w:t>
            </w:r>
            <w:r w:rsidRPr="00C57C5C">
              <w:rPr>
                <w:bCs/>
              </w:rPr>
              <w:t>of 900</w:t>
            </w:r>
            <w:r>
              <w:rPr>
                <w:bCs/>
              </w:rPr>
              <w:t> </w:t>
            </w:r>
            <w:r w:rsidRPr="00C57C5C">
              <w:rPr>
                <w:bCs/>
              </w:rPr>
              <w:t>MHz GSM band</w:t>
            </w:r>
          </w:p>
        </w:tc>
        <w:tc>
          <w:tcPr>
            <w:tcW w:w="2829" w:type="dxa"/>
          </w:tcPr>
          <w:p w:rsidR="00F95885" w:rsidRPr="006C482A" w:rsidRDefault="00F95885" w:rsidP="00684639">
            <w:pPr>
              <w:pStyle w:val="TableBody"/>
              <w:rPr>
                <w:bCs/>
              </w:rPr>
            </w:pPr>
            <w:r>
              <w:rPr>
                <w:bCs/>
              </w:rPr>
              <w:t>October–December 2016</w:t>
            </w:r>
          </w:p>
        </w:tc>
      </w:tr>
      <w:tr w:rsidR="00F95885" w:rsidTr="00ED168B">
        <w:tc>
          <w:tcPr>
            <w:tcW w:w="4832" w:type="dxa"/>
          </w:tcPr>
          <w:p w:rsidR="00F95885" w:rsidRPr="006C482A" w:rsidRDefault="004270DE" w:rsidP="006D24C2">
            <w:pPr>
              <w:pStyle w:val="TableBody"/>
              <w:ind w:left="170"/>
              <w:rPr>
                <w:bCs/>
              </w:rPr>
            </w:pPr>
            <w:r>
              <w:rPr>
                <w:bCs/>
              </w:rPr>
              <w:t>Commence implementation of</w:t>
            </w:r>
            <w:r w:rsidR="00F95885" w:rsidRPr="0047000D">
              <w:rPr>
                <w:bCs/>
              </w:rPr>
              <w:t xml:space="preserve"> </w:t>
            </w:r>
            <w:r>
              <w:rPr>
                <w:bCs/>
              </w:rPr>
              <w:t>outcomes of review of</w:t>
            </w:r>
            <w:r w:rsidR="00F95885" w:rsidRPr="0047000D">
              <w:rPr>
                <w:bCs/>
              </w:rPr>
              <w:t xml:space="preserve"> 803–960</w:t>
            </w:r>
            <w:r w:rsidR="00F95885">
              <w:rPr>
                <w:bCs/>
              </w:rPr>
              <w:t> </w:t>
            </w:r>
            <w:r w:rsidR="00F95885" w:rsidRPr="0047000D">
              <w:rPr>
                <w:bCs/>
              </w:rPr>
              <w:t>MHz band</w:t>
            </w:r>
          </w:p>
        </w:tc>
        <w:tc>
          <w:tcPr>
            <w:tcW w:w="2829" w:type="dxa"/>
          </w:tcPr>
          <w:p w:rsidR="00F95885" w:rsidRPr="006C482A" w:rsidRDefault="00F95885" w:rsidP="00684639">
            <w:pPr>
              <w:pStyle w:val="TableBody"/>
              <w:rPr>
                <w:bCs/>
              </w:rPr>
            </w:pPr>
            <w:r w:rsidRPr="009C1876">
              <w:rPr>
                <w:bCs/>
              </w:rPr>
              <w:t>July–September 2016</w:t>
            </w:r>
          </w:p>
        </w:tc>
      </w:tr>
      <w:tr w:rsidR="00F95885" w:rsidTr="00ED168B">
        <w:tc>
          <w:tcPr>
            <w:tcW w:w="4832" w:type="dxa"/>
          </w:tcPr>
          <w:p w:rsidR="00F95885" w:rsidRDefault="00537F8E" w:rsidP="00537F8E">
            <w:pPr>
              <w:pStyle w:val="TableBody"/>
              <w:ind w:left="170"/>
            </w:pPr>
            <w:r>
              <w:rPr>
                <w:bCs/>
              </w:rPr>
              <w:lastRenderedPageBreak/>
              <w:t>Actively m</w:t>
            </w:r>
            <w:r w:rsidR="00F95885" w:rsidRPr="0047000D">
              <w:rPr>
                <w:bCs/>
              </w:rPr>
              <w:t>onitor Internet of Things spectrum requirements</w:t>
            </w:r>
          </w:p>
        </w:tc>
        <w:tc>
          <w:tcPr>
            <w:tcW w:w="2829" w:type="dxa"/>
          </w:tcPr>
          <w:p w:rsidR="00F95885" w:rsidRDefault="00F95885" w:rsidP="00684639">
            <w:pPr>
              <w:pStyle w:val="TableBody"/>
            </w:pPr>
            <w:r w:rsidRPr="009C1876">
              <w:rPr>
                <w:bCs/>
              </w:rPr>
              <w:t>October–December 2016</w:t>
            </w:r>
          </w:p>
        </w:tc>
      </w:tr>
      <w:tr w:rsidR="00F95885" w:rsidTr="00ED168B">
        <w:tc>
          <w:tcPr>
            <w:tcW w:w="4832" w:type="dxa"/>
          </w:tcPr>
          <w:p w:rsidR="00F95885" w:rsidRDefault="00F95885" w:rsidP="006D24C2">
            <w:pPr>
              <w:pStyle w:val="TableBody"/>
              <w:ind w:left="170"/>
            </w:pPr>
            <w:r w:rsidRPr="0047000D">
              <w:rPr>
                <w:bCs/>
              </w:rPr>
              <w:t xml:space="preserve">Complete review of pricing arrangements for the </w:t>
            </w:r>
            <w:r w:rsidR="00E26B7D">
              <w:rPr>
                <w:bCs/>
              </w:rPr>
              <w:br/>
            </w:r>
            <w:proofErr w:type="spellStart"/>
            <w:r w:rsidRPr="0047000D">
              <w:rPr>
                <w:bCs/>
              </w:rPr>
              <w:t>Ka</w:t>
            </w:r>
            <w:proofErr w:type="spellEnd"/>
            <w:r w:rsidRPr="0047000D">
              <w:rPr>
                <w:bCs/>
              </w:rPr>
              <w:t xml:space="preserve">-band (satellite) </w:t>
            </w:r>
          </w:p>
        </w:tc>
        <w:tc>
          <w:tcPr>
            <w:tcW w:w="2829" w:type="dxa"/>
          </w:tcPr>
          <w:p w:rsidR="00F95885" w:rsidRDefault="00F95885" w:rsidP="00684639">
            <w:pPr>
              <w:pStyle w:val="TableBody"/>
            </w:pPr>
            <w:r w:rsidRPr="009C1876">
              <w:rPr>
                <w:bCs/>
              </w:rPr>
              <w:t>October–December 2016</w:t>
            </w:r>
          </w:p>
        </w:tc>
      </w:tr>
      <w:tr w:rsidR="00F95885" w:rsidTr="00ED168B">
        <w:tc>
          <w:tcPr>
            <w:tcW w:w="4832" w:type="dxa"/>
          </w:tcPr>
          <w:p w:rsidR="00F95885" w:rsidRDefault="004270DE" w:rsidP="004270DE">
            <w:pPr>
              <w:pStyle w:val="TableBody"/>
              <w:ind w:left="170"/>
            </w:pPr>
            <w:r>
              <w:rPr>
                <w:bCs/>
              </w:rPr>
              <w:t xml:space="preserve">Update </w:t>
            </w:r>
            <w:r w:rsidR="00F95885" w:rsidRPr="0047000D">
              <w:rPr>
                <w:bCs/>
              </w:rPr>
              <w:t xml:space="preserve">Low </w:t>
            </w:r>
            <w:r w:rsidR="00F95885">
              <w:rPr>
                <w:bCs/>
              </w:rPr>
              <w:t>I</w:t>
            </w:r>
            <w:r w:rsidR="00F95885" w:rsidRPr="0047000D">
              <w:rPr>
                <w:bCs/>
              </w:rPr>
              <w:t>nterference Potential Device</w:t>
            </w:r>
            <w:r w:rsidR="00F95885">
              <w:rPr>
                <w:bCs/>
              </w:rPr>
              <w:t>s</w:t>
            </w:r>
            <w:r w:rsidR="00F95885" w:rsidRPr="0047000D">
              <w:rPr>
                <w:bCs/>
              </w:rPr>
              <w:t xml:space="preserve"> class licence </w:t>
            </w:r>
          </w:p>
        </w:tc>
        <w:tc>
          <w:tcPr>
            <w:tcW w:w="2829" w:type="dxa"/>
          </w:tcPr>
          <w:p w:rsidR="00F95885" w:rsidRDefault="00F95885" w:rsidP="00684639">
            <w:pPr>
              <w:pStyle w:val="TableBody"/>
            </w:pPr>
            <w:r w:rsidRPr="009C1876">
              <w:rPr>
                <w:bCs/>
              </w:rPr>
              <w:t>April</w:t>
            </w:r>
            <w:r>
              <w:rPr>
                <w:bCs/>
              </w:rPr>
              <w:t>–</w:t>
            </w:r>
            <w:r w:rsidRPr="009C1876">
              <w:rPr>
                <w:bCs/>
              </w:rPr>
              <w:t>June 2017</w:t>
            </w:r>
          </w:p>
        </w:tc>
      </w:tr>
      <w:tr w:rsidR="00F95885" w:rsidTr="00ED168B">
        <w:tc>
          <w:tcPr>
            <w:tcW w:w="4832" w:type="dxa"/>
          </w:tcPr>
          <w:p w:rsidR="00F95885" w:rsidRDefault="00055E23" w:rsidP="00055E23">
            <w:pPr>
              <w:pStyle w:val="TableBody"/>
              <w:ind w:left="170"/>
            </w:pPr>
            <w:r>
              <w:rPr>
                <w:bCs/>
              </w:rPr>
              <w:t>Commence i</w:t>
            </w:r>
            <w:r w:rsidR="00F95885">
              <w:rPr>
                <w:bCs/>
              </w:rPr>
              <w:t>mplement</w:t>
            </w:r>
            <w:r>
              <w:rPr>
                <w:bCs/>
              </w:rPr>
              <w:t xml:space="preserve">ation of </w:t>
            </w:r>
            <w:r w:rsidR="00F95885">
              <w:rPr>
                <w:bCs/>
              </w:rPr>
              <w:t xml:space="preserve"> government policy for a</w:t>
            </w:r>
            <w:r w:rsidR="00F95885" w:rsidRPr="0047000D">
              <w:rPr>
                <w:bCs/>
              </w:rPr>
              <w:t xml:space="preserve">llocation of </w:t>
            </w:r>
            <w:r w:rsidR="00F95885">
              <w:rPr>
                <w:bCs/>
              </w:rPr>
              <w:t>r</w:t>
            </w:r>
            <w:r w:rsidR="00F95885" w:rsidRPr="0047000D">
              <w:rPr>
                <w:bCs/>
              </w:rPr>
              <w:t>esidual 700</w:t>
            </w:r>
            <w:r w:rsidR="00F95885">
              <w:rPr>
                <w:bCs/>
              </w:rPr>
              <w:t> </w:t>
            </w:r>
            <w:r w:rsidR="00F95885" w:rsidRPr="0047000D">
              <w:rPr>
                <w:bCs/>
              </w:rPr>
              <w:t>MHz band</w:t>
            </w:r>
          </w:p>
        </w:tc>
        <w:tc>
          <w:tcPr>
            <w:tcW w:w="2829" w:type="dxa"/>
          </w:tcPr>
          <w:p w:rsidR="00F95885" w:rsidRDefault="00F95885" w:rsidP="00684639">
            <w:pPr>
              <w:pStyle w:val="TableBody"/>
            </w:pPr>
            <w:r w:rsidRPr="009C1876">
              <w:rPr>
                <w:bCs/>
              </w:rPr>
              <w:t>October–December 2016</w:t>
            </w:r>
          </w:p>
        </w:tc>
      </w:tr>
      <w:tr w:rsidR="00F95885" w:rsidTr="00ED168B">
        <w:tc>
          <w:tcPr>
            <w:tcW w:w="4832" w:type="dxa"/>
          </w:tcPr>
          <w:p w:rsidR="00F95885" w:rsidRDefault="00F95885" w:rsidP="006D24C2">
            <w:pPr>
              <w:pStyle w:val="TableBody"/>
              <w:ind w:left="170"/>
              <w:rPr>
                <w:bCs/>
              </w:rPr>
            </w:pPr>
            <w:r>
              <w:rPr>
                <w:bCs/>
              </w:rPr>
              <w:t xml:space="preserve">Auction remaining 1800 MHz </w:t>
            </w:r>
            <w:r w:rsidR="00E26B7D">
              <w:rPr>
                <w:bCs/>
              </w:rPr>
              <w:t>s</w:t>
            </w:r>
            <w:r>
              <w:rPr>
                <w:bCs/>
              </w:rPr>
              <w:t>pectrum in regional Australia</w:t>
            </w:r>
          </w:p>
        </w:tc>
        <w:tc>
          <w:tcPr>
            <w:tcW w:w="2829" w:type="dxa"/>
          </w:tcPr>
          <w:p w:rsidR="00F95885" w:rsidRPr="009C1876" w:rsidRDefault="00F95885" w:rsidP="00684639">
            <w:pPr>
              <w:pStyle w:val="TableBody"/>
              <w:rPr>
                <w:bCs/>
              </w:rPr>
            </w:pPr>
            <w:r w:rsidRPr="009C1876">
              <w:rPr>
                <w:bCs/>
              </w:rPr>
              <w:t>April</w:t>
            </w:r>
            <w:r>
              <w:rPr>
                <w:bCs/>
              </w:rPr>
              <w:t>–</w:t>
            </w:r>
            <w:r w:rsidRPr="009C1876">
              <w:rPr>
                <w:bCs/>
              </w:rPr>
              <w:t>June 2017</w:t>
            </w:r>
          </w:p>
        </w:tc>
      </w:tr>
      <w:tr w:rsidR="00F95885" w:rsidTr="00ED168B">
        <w:tc>
          <w:tcPr>
            <w:tcW w:w="4832" w:type="dxa"/>
            <w:shd w:val="clear" w:color="auto" w:fill="F2F2F2" w:themeFill="background1" w:themeFillShade="F2"/>
          </w:tcPr>
          <w:p w:rsidR="00F95885" w:rsidRDefault="00FF7980" w:rsidP="00FF7980">
            <w:pPr>
              <w:pStyle w:val="TableBody"/>
            </w:pPr>
            <w:r w:rsidRPr="006C482A">
              <w:rPr>
                <w:b/>
              </w:rPr>
              <w:t>Contribut</w:t>
            </w:r>
            <w:r>
              <w:rPr>
                <w:b/>
              </w:rPr>
              <w:t xml:space="preserve">e to </w:t>
            </w:r>
            <w:r w:rsidR="00F95885" w:rsidRPr="006C482A">
              <w:rPr>
                <w:b/>
              </w:rPr>
              <w:t xml:space="preserve">implementation of the </w:t>
            </w:r>
            <w:r w:rsidR="00F95885">
              <w:rPr>
                <w:b/>
              </w:rPr>
              <w:t>g</w:t>
            </w:r>
            <w:r w:rsidR="00F95885" w:rsidRPr="006C482A">
              <w:rPr>
                <w:b/>
              </w:rPr>
              <w:t>overnment’s Spectrum and Pricing Reviews</w:t>
            </w:r>
          </w:p>
        </w:tc>
        <w:tc>
          <w:tcPr>
            <w:tcW w:w="2829" w:type="dxa"/>
            <w:shd w:val="clear" w:color="auto" w:fill="F2F2F2" w:themeFill="background1" w:themeFillShade="F2"/>
          </w:tcPr>
          <w:p w:rsidR="00F95885" w:rsidRDefault="00F95885" w:rsidP="00684639">
            <w:pPr>
              <w:pStyle w:val="TableBody"/>
            </w:pPr>
            <w:r>
              <w:t>C</w:t>
            </w:r>
            <w:r w:rsidRPr="00242F6D">
              <w:t xml:space="preserve">onsistent with the timelines set out by </w:t>
            </w:r>
            <w:r>
              <w:t>g</w:t>
            </w:r>
            <w:r w:rsidRPr="00242F6D">
              <w:t>overnment</w:t>
            </w:r>
          </w:p>
        </w:tc>
      </w:tr>
      <w:tr w:rsidR="00F95885" w:rsidTr="00ED168B">
        <w:tc>
          <w:tcPr>
            <w:tcW w:w="4832" w:type="dxa"/>
            <w:shd w:val="clear" w:color="auto" w:fill="F2F2F2" w:themeFill="background1" w:themeFillShade="F2"/>
          </w:tcPr>
          <w:p w:rsidR="00F95885" w:rsidRPr="006C482A" w:rsidRDefault="00F95885" w:rsidP="00684639">
            <w:pPr>
              <w:pStyle w:val="TableBody"/>
              <w:rPr>
                <w:b/>
              </w:rPr>
            </w:pPr>
            <w:r>
              <w:rPr>
                <w:b/>
              </w:rPr>
              <w:t>Commence AM to FM radio conversion in markets determined with industry consultation</w:t>
            </w:r>
          </w:p>
        </w:tc>
        <w:tc>
          <w:tcPr>
            <w:tcW w:w="2829" w:type="dxa"/>
            <w:shd w:val="clear" w:color="auto" w:fill="F2F2F2" w:themeFill="background1" w:themeFillShade="F2"/>
          </w:tcPr>
          <w:p w:rsidR="00F95885" w:rsidRDefault="00F95885" w:rsidP="00684639">
            <w:pPr>
              <w:pStyle w:val="TableBody"/>
            </w:pPr>
            <w:r>
              <w:t>July</w:t>
            </w:r>
            <w:r w:rsidR="00E26B7D">
              <w:t>–</w:t>
            </w:r>
            <w:r>
              <w:t>September 2016</w:t>
            </w:r>
          </w:p>
        </w:tc>
      </w:tr>
      <w:tr w:rsidR="00F95885" w:rsidTr="00ED168B">
        <w:tc>
          <w:tcPr>
            <w:tcW w:w="4832" w:type="dxa"/>
            <w:shd w:val="clear" w:color="auto" w:fill="F2F2F2" w:themeFill="background1" w:themeFillShade="F2"/>
          </w:tcPr>
          <w:p w:rsidR="00F95885" w:rsidRPr="001B592D" w:rsidRDefault="00F95885" w:rsidP="00FF7980">
            <w:pPr>
              <w:pStyle w:val="TableBody"/>
              <w:rPr>
                <w:b/>
              </w:rPr>
            </w:pPr>
            <w:r w:rsidRPr="001B592D">
              <w:rPr>
                <w:b/>
              </w:rPr>
              <w:t>Facilitat</w:t>
            </w:r>
            <w:r w:rsidR="00FF7980">
              <w:rPr>
                <w:b/>
              </w:rPr>
              <w:t xml:space="preserve">e </w:t>
            </w:r>
            <w:r w:rsidRPr="001B592D">
              <w:rPr>
                <w:b/>
              </w:rPr>
              <w:t>industry-managed numbering</w:t>
            </w:r>
          </w:p>
        </w:tc>
        <w:tc>
          <w:tcPr>
            <w:tcW w:w="2829" w:type="dxa"/>
            <w:shd w:val="clear" w:color="auto" w:fill="F2F2F2" w:themeFill="background1" w:themeFillShade="F2"/>
          </w:tcPr>
          <w:p w:rsidR="00F95885" w:rsidRDefault="00F95885" w:rsidP="00684639">
            <w:pPr>
              <w:pStyle w:val="TableBody"/>
            </w:pPr>
            <w:r w:rsidRPr="001B592D">
              <w:t>In accordance with government time</w:t>
            </w:r>
            <w:r w:rsidR="00E26B7D">
              <w:t xml:space="preserve"> </w:t>
            </w:r>
            <w:r w:rsidRPr="001B592D">
              <w:t>frames</w:t>
            </w:r>
          </w:p>
        </w:tc>
      </w:tr>
    </w:tbl>
    <w:p w:rsidR="00F95885" w:rsidRDefault="00F95885" w:rsidP="00030495">
      <w:pPr>
        <w:pStyle w:val="ACMASpaceaftertable"/>
      </w:pPr>
    </w:p>
    <w:p w:rsidR="004E6497" w:rsidRDefault="00C11363" w:rsidP="006D24C2">
      <w:pPr>
        <w:pStyle w:val="ACMATableHeader"/>
      </w:pPr>
      <w:bookmarkStart w:id="32" w:name="_Toc453682097"/>
      <w:r w:rsidRPr="00850AE8">
        <w:t xml:space="preserve">Key activities to deliver </w:t>
      </w:r>
      <w:proofErr w:type="spellStart"/>
      <w:r w:rsidRPr="00850AE8">
        <w:t>KRA</w:t>
      </w:r>
      <w:proofErr w:type="spellEnd"/>
      <w:r w:rsidRPr="00850AE8">
        <w:t xml:space="preserve"> 1 outcomes</w:t>
      </w:r>
      <w:r>
        <w:t>—</w:t>
      </w:r>
      <w:r w:rsidR="004E6497" w:rsidRPr="006D24C2">
        <w:t>2017 and beyond</w:t>
      </w:r>
      <w:bookmarkEnd w:id="32"/>
    </w:p>
    <w:tbl>
      <w:tblPr>
        <w:tblStyle w:val="TableGrid"/>
        <w:tblW w:w="0" w:type="auto"/>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4832"/>
        <w:gridCol w:w="2829"/>
      </w:tblGrid>
      <w:tr w:rsidR="004E6497" w:rsidTr="00AD6476">
        <w:trPr>
          <w:tblHeader/>
        </w:trPr>
        <w:tc>
          <w:tcPr>
            <w:tcW w:w="4832" w:type="dxa"/>
            <w:shd w:val="clear" w:color="auto" w:fill="3957A5"/>
          </w:tcPr>
          <w:p w:rsidR="004E6497" w:rsidRPr="00030495" w:rsidRDefault="004E6497" w:rsidP="00030495">
            <w:pPr>
              <w:pStyle w:val="TableHeading"/>
              <w:rPr>
                <w:color w:val="F2F2F2" w:themeColor="background1" w:themeShade="F2"/>
              </w:rPr>
            </w:pPr>
            <w:r w:rsidRPr="00030495">
              <w:rPr>
                <w:color w:val="F2F2F2" w:themeColor="background1" w:themeShade="F2"/>
              </w:rPr>
              <w:t>Project description</w:t>
            </w:r>
          </w:p>
        </w:tc>
        <w:tc>
          <w:tcPr>
            <w:tcW w:w="2829" w:type="dxa"/>
            <w:shd w:val="clear" w:color="auto" w:fill="3957A5"/>
          </w:tcPr>
          <w:p w:rsidR="004E6497" w:rsidRPr="00030495" w:rsidRDefault="004E6497" w:rsidP="00030495">
            <w:pPr>
              <w:pStyle w:val="TableHeading"/>
              <w:rPr>
                <w:color w:val="F2F2F2" w:themeColor="background1" w:themeShade="F2"/>
              </w:rPr>
            </w:pPr>
            <w:r w:rsidRPr="00030495">
              <w:rPr>
                <w:color w:val="F2F2F2" w:themeColor="background1" w:themeShade="F2"/>
              </w:rPr>
              <w:t>Proposed timings</w:t>
            </w:r>
          </w:p>
        </w:tc>
      </w:tr>
      <w:tr w:rsidR="004E6497" w:rsidTr="00ED168B">
        <w:tc>
          <w:tcPr>
            <w:tcW w:w="7661" w:type="dxa"/>
            <w:gridSpan w:val="2"/>
            <w:shd w:val="clear" w:color="auto" w:fill="F2F2F2" w:themeFill="background1" w:themeFillShade="F2"/>
          </w:tcPr>
          <w:p w:rsidR="004E6497" w:rsidRPr="00C57C5C" w:rsidRDefault="004E6497" w:rsidP="004E6497">
            <w:pPr>
              <w:pStyle w:val="TableBody"/>
              <w:rPr>
                <w:b/>
              </w:rPr>
            </w:pPr>
            <w:r w:rsidRPr="00C57C5C">
              <w:rPr>
                <w:b/>
              </w:rPr>
              <w:t>Stakeholder engagement and consultation activities:</w:t>
            </w:r>
          </w:p>
        </w:tc>
      </w:tr>
      <w:tr w:rsidR="004E6497" w:rsidTr="00ED168B">
        <w:tc>
          <w:tcPr>
            <w:tcW w:w="4832" w:type="dxa"/>
          </w:tcPr>
          <w:p w:rsidR="004E6497" w:rsidRPr="006C482A" w:rsidRDefault="004E6497" w:rsidP="00D21747">
            <w:pPr>
              <w:pStyle w:val="TableBody"/>
              <w:ind w:left="170"/>
            </w:pPr>
            <w:proofErr w:type="spellStart"/>
            <w:r w:rsidRPr="006C482A">
              <w:t>RadCom</w:t>
            </w:r>
            <w:r w:rsidR="00076119">
              <w:t>m</w:t>
            </w:r>
            <w:r w:rsidRPr="006C482A">
              <w:t>s</w:t>
            </w:r>
            <w:proofErr w:type="spellEnd"/>
            <w:r w:rsidRPr="006C482A">
              <w:t xml:space="preserve"> </w:t>
            </w:r>
            <w:r>
              <w:t>c</w:t>
            </w:r>
            <w:r w:rsidRPr="006C482A">
              <w:t>onference 2017</w:t>
            </w:r>
          </w:p>
        </w:tc>
        <w:tc>
          <w:tcPr>
            <w:tcW w:w="2829" w:type="dxa"/>
          </w:tcPr>
          <w:p w:rsidR="004E6497" w:rsidRPr="006C482A" w:rsidRDefault="004E6497" w:rsidP="004E6497">
            <w:pPr>
              <w:pStyle w:val="TableBody"/>
            </w:pPr>
            <w:r w:rsidRPr="006C482A">
              <w:t>July–September 2017</w:t>
            </w:r>
          </w:p>
        </w:tc>
      </w:tr>
      <w:tr w:rsidR="004E6497" w:rsidTr="00ED168B">
        <w:tc>
          <w:tcPr>
            <w:tcW w:w="4832" w:type="dxa"/>
          </w:tcPr>
          <w:p w:rsidR="004E6497" w:rsidRPr="006C482A" w:rsidRDefault="004E6497" w:rsidP="000D05F3">
            <w:pPr>
              <w:pStyle w:val="TableBody"/>
              <w:ind w:left="170"/>
            </w:pPr>
            <w:r>
              <w:t xml:space="preserve">Update </w:t>
            </w:r>
            <w:proofErr w:type="spellStart"/>
            <w:r>
              <w:t>FYSO</w:t>
            </w:r>
            <w:proofErr w:type="spellEnd"/>
            <w:r>
              <w:t xml:space="preserve"> </w:t>
            </w:r>
            <w:r w:rsidRPr="006C482A">
              <w:t xml:space="preserve"> </w:t>
            </w:r>
          </w:p>
        </w:tc>
        <w:tc>
          <w:tcPr>
            <w:tcW w:w="2829" w:type="dxa"/>
          </w:tcPr>
          <w:p w:rsidR="004E6497" w:rsidRPr="006C482A" w:rsidRDefault="004E6497" w:rsidP="004E6497">
            <w:pPr>
              <w:pStyle w:val="TableBody"/>
            </w:pPr>
            <w:r w:rsidRPr="006C482A">
              <w:t>July–September 2017</w:t>
            </w:r>
          </w:p>
        </w:tc>
      </w:tr>
      <w:tr w:rsidR="004E6497" w:rsidTr="00ED168B">
        <w:tc>
          <w:tcPr>
            <w:tcW w:w="4832" w:type="dxa"/>
          </w:tcPr>
          <w:p w:rsidR="004E6497" w:rsidRDefault="004270DE" w:rsidP="00055E23">
            <w:pPr>
              <w:pStyle w:val="TableBody"/>
              <w:ind w:left="170"/>
            </w:pPr>
            <w:r>
              <w:t xml:space="preserve">Establish </w:t>
            </w:r>
            <w:proofErr w:type="spellStart"/>
            <w:r>
              <w:t>PCAs</w:t>
            </w:r>
            <w:proofErr w:type="spellEnd"/>
          </w:p>
        </w:tc>
        <w:tc>
          <w:tcPr>
            <w:tcW w:w="2829" w:type="dxa"/>
          </w:tcPr>
          <w:p w:rsidR="004E6497" w:rsidRPr="006C482A" w:rsidRDefault="004E6497" w:rsidP="004E6497">
            <w:pPr>
              <w:pStyle w:val="TableBody"/>
            </w:pPr>
            <w:r w:rsidRPr="006C482A">
              <w:t>July–September 2017</w:t>
            </w:r>
          </w:p>
        </w:tc>
      </w:tr>
      <w:tr w:rsidR="004E6497" w:rsidTr="00ED168B">
        <w:tc>
          <w:tcPr>
            <w:tcW w:w="4832" w:type="dxa"/>
          </w:tcPr>
          <w:p w:rsidR="004E6497" w:rsidRDefault="004E6497" w:rsidP="000D05F3">
            <w:pPr>
              <w:pStyle w:val="TableBody"/>
              <w:ind w:left="170"/>
            </w:pPr>
            <w:r w:rsidRPr="00C57C5C">
              <w:t xml:space="preserve">Update mobile broadband work program </w:t>
            </w:r>
          </w:p>
        </w:tc>
        <w:tc>
          <w:tcPr>
            <w:tcW w:w="2829" w:type="dxa"/>
          </w:tcPr>
          <w:p w:rsidR="004E6497" w:rsidRPr="006C482A" w:rsidRDefault="004E6497" w:rsidP="004E6497">
            <w:pPr>
              <w:pStyle w:val="TableBody"/>
            </w:pPr>
            <w:r w:rsidRPr="006C482A">
              <w:t>July–September 2017</w:t>
            </w:r>
          </w:p>
        </w:tc>
      </w:tr>
      <w:tr w:rsidR="004E6497" w:rsidTr="00ED168B">
        <w:tc>
          <w:tcPr>
            <w:tcW w:w="7661" w:type="dxa"/>
            <w:gridSpan w:val="2"/>
            <w:shd w:val="clear" w:color="auto" w:fill="F2F2F2" w:themeFill="background1" w:themeFillShade="F2"/>
          </w:tcPr>
          <w:p w:rsidR="004E6497" w:rsidRDefault="004E6497" w:rsidP="004E6497">
            <w:pPr>
              <w:pStyle w:val="TableBody"/>
            </w:pPr>
            <w:r w:rsidRPr="00C57C5C">
              <w:rPr>
                <w:b/>
              </w:rPr>
              <w:t>Spectrum planning and allocation activities:</w:t>
            </w:r>
          </w:p>
        </w:tc>
      </w:tr>
      <w:tr w:rsidR="004E6497" w:rsidTr="00ED168B">
        <w:tc>
          <w:tcPr>
            <w:tcW w:w="4832" w:type="dxa"/>
          </w:tcPr>
          <w:p w:rsidR="004E6497" w:rsidRDefault="004E6497" w:rsidP="00D21747">
            <w:pPr>
              <w:pStyle w:val="TableBody"/>
              <w:ind w:left="170"/>
            </w:pPr>
            <w:r>
              <w:t xml:space="preserve">Complete reissue of expiring spectrum licences in </w:t>
            </w:r>
            <w:r w:rsidRPr="006C482A">
              <w:t>2</w:t>
            </w:r>
            <w:r>
              <w:t> </w:t>
            </w:r>
            <w:r w:rsidRPr="006C482A">
              <w:t xml:space="preserve">GHz </w:t>
            </w:r>
            <w:r>
              <w:t>band</w:t>
            </w:r>
          </w:p>
        </w:tc>
        <w:tc>
          <w:tcPr>
            <w:tcW w:w="2829" w:type="dxa"/>
          </w:tcPr>
          <w:p w:rsidR="004E6497" w:rsidRDefault="004E6497" w:rsidP="004E6497">
            <w:pPr>
              <w:pStyle w:val="TableBody"/>
            </w:pPr>
            <w:r w:rsidRPr="006C482A">
              <w:t>October–December 2017</w:t>
            </w:r>
          </w:p>
        </w:tc>
      </w:tr>
      <w:tr w:rsidR="004E6497" w:rsidTr="00ED168B">
        <w:tc>
          <w:tcPr>
            <w:tcW w:w="4832" w:type="dxa"/>
          </w:tcPr>
          <w:p w:rsidR="004E6497" w:rsidRDefault="004E6497" w:rsidP="000D05F3">
            <w:pPr>
              <w:pStyle w:val="TableBody"/>
              <w:ind w:left="170"/>
            </w:pPr>
            <w:r w:rsidRPr="006C482A">
              <w:t>Complet</w:t>
            </w:r>
            <w:r w:rsidR="000D05F3">
              <w:t>e</w:t>
            </w:r>
            <w:r w:rsidRPr="006C482A">
              <w:t xml:space="preserve"> 400</w:t>
            </w:r>
            <w:r>
              <w:t> </w:t>
            </w:r>
            <w:r w:rsidRPr="006C482A">
              <w:t>MHz band arrangement implementation</w:t>
            </w:r>
          </w:p>
        </w:tc>
        <w:tc>
          <w:tcPr>
            <w:tcW w:w="2829" w:type="dxa"/>
          </w:tcPr>
          <w:p w:rsidR="004E6497" w:rsidRDefault="004E6497" w:rsidP="004E6497">
            <w:pPr>
              <w:pStyle w:val="TableBody"/>
            </w:pPr>
            <w:r w:rsidRPr="006C482A">
              <w:t>October–December 2019</w:t>
            </w:r>
          </w:p>
        </w:tc>
      </w:tr>
      <w:tr w:rsidR="004E6497" w:rsidTr="00ED168B">
        <w:tc>
          <w:tcPr>
            <w:tcW w:w="4832" w:type="dxa"/>
            <w:shd w:val="clear" w:color="auto" w:fill="F2F2F2" w:themeFill="background1" w:themeFillShade="F2"/>
          </w:tcPr>
          <w:p w:rsidR="004E6497" w:rsidRPr="006C482A" w:rsidRDefault="004E6497" w:rsidP="00FF7980">
            <w:pPr>
              <w:pStyle w:val="TableBody"/>
            </w:pPr>
            <w:r w:rsidRPr="006C482A">
              <w:rPr>
                <w:b/>
              </w:rPr>
              <w:t>Contribut</w:t>
            </w:r>
            <w:r w:rsidR="00FF7980">
              <w:rPr>
                <w:b/>
              </w:rPr>
              <w:t>e to imp</w:t>
            </w:r>
            <w:r w:rsidRPr="006C482A">
              <w:rPr>
                <w:b/>
              </w:rPr>
              <w:t xml:space="preserve">lementation of the </w:t>
            </w:r>
            <w:r>
              <w:rPr>
                <w:b/>
              </w:rPr>
              <w:t>g</w:t>
            </w:r>
            <w:r w:rsidRPr="006C482A">
              <w:rPr>
                <w:b/>
              </w:rPr>
              <w:t>overnment’s Spectrum and Pricing Reviews</w:t>
            </w:r>
          </w:p>
        </w:tc>
        <w:tc>
          <w:tcPr>
            <w:tcW w:w="2829" w:type="dxa"/>
            <w:shd w:val="clear" w:color="auto" w:fill="F2F2F2" w:themeFill="background1" w:themeFillShade="F2"/>
          </w:tcPr>
          <w:p w:rsidR="004E6497" w:rsidRPr="006C482A" w:rsidRDefault="004E6497" w:rsidP="004E6497">
            <w:pPr>
              <w:pStyle w:val="TableBody"/>
            </w:pPr>
            <w:r w:rsidRPr="006C482A">
              <w:t xml:space="preserve">Consistent with the timelines set out by </w:t>
            </w:r>
            <w:r>
              <w:t>g</w:t>
            </w:r>
            <w:r w:rsidRPr="006C482A">
              <w:t>overnment</w:t>
            </w:r>
          </w:p>
        </w:tc>
      </w:tr>
      <w:tr w:rsidR="004E6497" w:rsidTr="00ED168B">
        <w:tc>
          <w:tcPr>
            <w:tcW w:w="4832" w:type="dxa"/>
            <w:shd w:val="clear" w:color="auto" w:fill="F2F2F2" w:themeFill="background1" w:themeFillShade="F2"/>
          </w:tcPr>
          <w:p w:rsidR="004E6497" w:rsidRDefault="004E6497" w:rsidP="004E6497">
            <w:pPr>
              <w:pStyle w:val="TableBody"/>
            </w:pPr>
            <w:r w:rsidRPr="006C482A">
              <w:rPr>
                <w:b/>
              </w:rPr>
              <w:t>R</w:t>
            </w:r>
            <w:r>
              <w:rPr>
                <w:b/>
              </w:rPr>
              <w:t xml:space="preserve">egularise digital radio licences in Canberra and Darwin markets </w:t>
            </w:r>
          </w:p>
        </w:tc>
        <w:tc>
          <w:tcPr>
            <w:tcW w:w="2829" w:type="dxa"/>
            <w:shd w:val="clear" w:color="auto" w:fill="F2F2F2" w:themeFill="background1" w:themeFillShade="F2"/>
          </w:tcPr>
          <w:p w:rsidR="004E6497" w:rsidRDefault="004E6497" w:rsidP="004E6497">
            <w:pPr>
              <w:pStyle w:val="TableBody"/>
            </w:pPr>
            <w:r>
              <w:t>April</w:t>
            </w:r>
            <w:r w:rsidR="00E26B7D">
              <w:t>–</w:t>
            </w:r>
            <w:r>
              <w:t>June</w:t>
            </w:r>
            <w:r w:rsidRPr="006C482A">
              <w:t xml:space="preserve"> 201</w:t>
            </w:r>
            <w:r>
              <w:t>8</w:t>
            </w:r>
          </w:p>
        </w:tc>
      </w:tr>
      <w:tr w:rsidR="004E6497" w:rsidTr="00ED168B">
        <w:tc>
          <w:tcPr>
            <w:tcW w:w="4832" w:type="dxa"/>
            <w:shd w:val="clear" w:color="auto" w:fill="F2F2F2" w:themeFill="background1" w:themeFillShade="F2"/>
          </w:tcPr>
          <w:p w:rsidR="004E6497" w:rsidRPr="001B592D" w:rsidRDefault="004E6497" w:rsidP="00FF7980">
            <w:pPr>
              <w:pStyle w:val="TableBody"/>
              <w:rPr>
                <w:b/>
              </w:rPr>
            </w:pPr>
            <w:r w:rsidRPr="001B592D">
              <w:rPr>
                <w:b/>
              </w:rPr>
              <w:t>Implement industry-managed numbering</w:t>
            </w:r>
          </w:p>
        </w:tc>
        <w:tc>
          <w:tcPr>
            <w:tcW w:w="2829" w:type="dxa"/>
            <w:shd w:val="clear" w:color="auto" w:fill="F2F2F2" w:themeFill="background1" w:themeFillShade="F2"/>
          </w:tcPr>
          <w:p w:rsidR="004E6497" w:rsidRPr="001B592D" w:rsidRDefault="004E6497" w:rsidP="004E6497">
            <w:pPr>
              <w:pStyle w:val="TableBody"/>
            </w:pPr>
            <w:r w:rsidRPr="001B592D">
              <w:t>Consistent with the time</w:t>
            </w:r>
            <w:r w:rsidR="00E26B7D">
              <w:t xml:space="preserve"> frames</w:t>
            </w:r>
            <w:r w:rsidRPr="001B592D">
              <w:t xml:space="preserve"> set out by government</w:t>
            </w:r>
          </w:p>
        </w:tc>
      </w:tr>
    </w:tbl>
    <w:p w:rsidR="00B907F7" w:rsidRDefault="00B907F7" w:rsidP="00B907F7">
      <w:pPr>
        <w:pStyle w:val="Heading3"/>
      </w:pPr>
      <w:bookmarkStart w:id="33" w:name="_Toc453682098"/>
      <w:bookmarkStart w:id="34" w:name="_Toc453828791"/>
    </w:p>
    <w:p w:rsidR="00B907F7" w:rsidRDefault="00B907F7" w:rsidP="00B907F7">
      <w:pPr>
        <w:pStyle w:val="Heading3"/>
      </w:pPr>
    </w:p>
    <w:p w:rsidR="00B907F7" w:rsidRDefault="00B907F7">
      <w:pPr>
        <w:spacing w:after="0" w:line="240" w:lineRule="auto"/>
        <w:rPr>
          <w:rFonts w:cs="Arial"/>
          <w:b/>
          <w:bCs/>
          <w:szCs w:val="26"/>
        </w:rPr>
      </w:pPr>
      <w:r>
        <w:br w:type="page"/>
      </w:r>
    </w:p>
    <w:p w:rsidR="005065CD" w:rsidRDefault="005065CD" w:rsidP="00B907F7">
      <w:pPr>
        <w:pStyle w:val="Heading3"/>
      </w:pPr>
      <w:bookmarkStart w:id="35" w:name="_Toc457898845"/>
      <w:r w:rsidRPr="003448B7">
        <w:lastRenderedPageBreak/>
        <w:t>Performance targets</w:t>
      </w:r>
      <w:bookmarkEnd w:id="33"/>
      <w:bookmarkEnd w:id="34"/>
      <w:bookmarkEnd w:id="35"/>
    </w:p>
    <w:p w:rsidR="005065CD" w:rsidRDefault="005065CD" w:rsidP="005065CD">
      <w:r>
        <w:t>The ACMA will</w:t>
      </w:r>
      <w:r w:rsidRPr="007771C5">
        <w:t xml:space="preserve"> monitor </w:t>
      </w:r>
      <w:r>
        <w:t>its</w:t>
      </w:r>
      <w:r w:rsidRPr="007771C5">
        <w:t xml:space="preserve"> performance in </w:t>
      </w:r>
      <w:proofErr w:type="spellStart"/>
      <w:r w:rsidRPr="007771C5">
        <w:t>KRA</w:t>
      </w:r>
      <w:proofErr w:type="spellEnd"/>
      <w:r w:rsidRPr="007771C5">
        <w:t xml:space="preserve"> 1 across the life of this plan against the performance targets</w:t>
      </w:r>
      <w:r w:rsidR="00C11363">
        <w:t xml:space="preserve"> in Table </w:t>
      </w:r>
      <w:r w:rsidR="006734C0">
        <w:t>3.</w:t>
      </w:r>
    </w:p>
    <w:p w:rsidR="00C11363" w:rsidRDefault="006734C0" w:rsidP="006D24C2">
      <w:pPr>
        <w:pStyle w:val="ACMATableHeader"/>
      </w:pPr>
      <w:proofErr w:type="spellStart"/>
      <w:r>
        <w:t>KRA</w:t>
      </w:r>
      <w:proofErr w:type="spellEnd"/>
      <w:r>
        <w:t xml:space="preserve"> 1 performance targets, 2016–20</w:t>
      </w:r>
    </w:p>
    <w:tbl>
      <w:tblPr>
        <w:tblStyle w:val="GridTable4"/>
        <w:tblW w:w="9249" w:type="dxa"/>
        <w:tblLayout w:type="fixed"/>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4832"/>
        <w:gridCol w:w="1104"/>
        <w:gridCol w:w="1104"/>
        <w:gridCol w:w="1104"/>
        <w:gridCol w:w="1105"/>
      </w:tblGrid>
      <w:tr w:rsidR="005065CD" w:rsidRPr="005065CD" w:rsidTr="00AD6476">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000" w:firstRow="0" w:lastRow="0" w:firstColumn="1" w:lastColumn="0" w:oddVBand="0" w:evenVBand="0" w:oddHBand="0" w:evenHBand="0" w:firstRowFirstColumn="0" w:firstRowLastColumn="0" w:lastRowFirstColumn="0" w:lastRowLastColumn="0"/>
            <w:tcW w:w="4832" w:type="dxa"/>
            <w:shd w:val="clear" w:color="auto" w:fill="3957A5"/>
            <w:vAlign w:val="center"/>
          </w:tcPr>
          <w:p w:rsidR="005065CD" w:rsidRPr="00030495" w:rsidRDefault="005065CD" w:rsidP="005065CD">
            <w:pPr>
              <w:pStyle w:val="TableBody"/>
              <w:rPr>
                <w:color w:val="F2F2F2" w:themeColor="background1" w:themeShade="F2"/>
              </w:rPr>
            </w:pPr>
            <w:r w:rsidRPr="00030495">
              <w:rPr>
                <w:color w:val="F2F2F2" w:themeColor="background1" w:themeShade="F2"/>
              </w:rPr>
              <w:t>Target</w:t>
            </w:r>
          </w:p>
        </w:tc>
        <w:tc>
          <w:tcPr>
            <w:tcW w:w="1104" w:type="dxa"/>
            <w:shd w:val="clear" w:color="auto" w:fill="3957A5"/>
            <w:vAlign w:val="center"/>
          </w:tcPr>
          <w:p w:rsidR="005065CD" w:rsidRPr="00030495" w:rsidRDefault="005065CD" w:rsidP="005065CD">
            <w:pPr>
              <w:pStyle w:val="TableBody"/>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030495">
              <w:rPr>
                <w:color w:val="F2F2F2" w:themeColor="background1" w:themeShade="F2"/>
              </w:rPr>
              <w:t>2016</w:t>
            </w:r>
            <w:r w:rsidR="00E26B7D" w:rsidRPr="00980933">
              <w:rPr>
                <w:color w:val="F2F2F2" w:themeColor="background1" w:themeShade="F2"/>
              </w:rPr>
              <w:t>–</w:t>
            </w:r>
            <w:r w:rsidRPr="00030495">
              <w:rPr>
                <w:color w:val="F2F2F2" w:themeColor="background1" w:themeShade="F2"/>
              </w:rPr>
              <w:t>17</w:t>
            </w:r>
          </w:p>
        </w:tc>
        <w:tc>
          <w:tcPr>
            <w:tcW w:w="1104" w:type="dxa"/>
            <w:shd w:val="clear" w:color="auto" w:fill="3957A5"/>
            <w:vAlign w:val="center"/>
          </w:tcPr>
          <w:p w:rsidR="005065CD" w:rsidRPr="00030495" w:rsidRDefault="005065CD" w:rsidP="005065CD">
            <w:pPr>
              <w:pStyle w:val="TableBody"/>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030495">
              <w:rPr>
                <w:color w:val="F2F2F2" w:themeColor="background1" w:themeShade="F2"/>
              </w:rPr>
              <w:t>2017</w:t>
            </w:r>
            <w:r w:rsidR="00E26B7D" w:rsidRPr="00980933">
              <w:rPr>
                <w:color w:val="F2F2F2" w:themeColor="background1" w:themeShade="F2"/>
              </w:rPr>
              <w:t>–</w:t>
            </w:r>
            <w:r w:rsidRPr="00030495">
              <w:rPr>
                <w:color w:val="F2F2F2" w:themeColor="background1" w:themeShade="F2"/>
              </w:rPr>
              <w:t>18</w:t>
            </w:r>
          </w:p>
        </w:tc>
        <w:tc>
          <w:tcPr>
            <w:tcW w:w="1104" w:type="dxa"/>
            <w:shd w:val="clear" w:color="auto" w:fill="3957A5"/>
            <w:vAlign w:val="center"/>
          </w:tcPr>
          <w:p w:rsidR="005065CD" w:rsidRPr="00030495" w:rsidRDefault="005065CD" w:rsidP="005065CD">
            <w:pPr>
              <w:pStyle w:val="TableBody"/>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030495">
              <w:rPr>
                <w:color w:val="F2F2F2" w:themeColor="background1" w:themeShade="F2"/>
              </w:rPr>
              <w:t>2018</w:t>
            </w:r>
            <w:r w:rsidR="00E26B7D" w:rsidRPr="00980933">
              <w:rPr>
                <w:color w:val="F2F2F2" w:themeColor="background1" w:themeShade="F2"/>
              </w:rPr>
              <w:t>–</w:t>
            </w:r>
            <w:r w:rsidRPr="00030495">
              <w:rPr>
                <w:color w:val="F2F2F2" w:themeColor="background1" w:themeShade="F2"/>
              </w:rPr>
              <w:t>19</w:t>
            </w:r>
          </w:p>
        </w:tc>
        <w:tc>
          <w:tcPr>
            <w:tcW w:w="1105" w:type="dxa"/>
            <w:shd w:val="clear" w:color="auto" w:fill="3957A5"/>
            <w:vAlign w:val="center"/>
          </w:tcPr>
          <w:p w:rsidR="005065CD" w:rsidRPr="00030495" w:rsidRDefault="005065CD" w:rsidP="005065CD">
            <w:pPr>
              <w:pStyle w:val="TableBody"/>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030495">
              <w:rPr>
                <w:color w:val="F2F2F2" w:themeColor="background1" w:themeShade="F2"/>
              </w:rPr>
              <w:t>2019</w:t>
            </w:r>
            <w:r w:rsidR="00E26B7D" w:rsidRPr="00980933">
              <w:rPr>
                <w:color w:val="F2F2F2" w:themeColor="background1" w:themeShade="F2"/>
              </w:rPr>
              <w:t>–</w:t>
            </w:r>
            <w:r w:rsidRPr="00030495">
              <w:rPr>
                <w:color w:val="F2F2F2" w:themeColor="background1" w:themeShade="F2"/>
              </w:rPr>
              <w:t>20</w:t>
            </w:r>
          </w:p>
        </w:tc>
      </w:tr>
      <w:tr w:rsidR="005065CD" w:rsidRPr="005065CD" w:rsidTr="006D24C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5065CD" w:rsidRPr="00030495" w:rsidRDefault="005065CD" w:rsidP="005065CD">
            <w:pPr>
              <w:pStyle w:val="TableBody"/>
              <w:rPr>
                <w:b w:val="0"/>
              </w:rPr>
            </w:pPr>
            <w:r w:rsidRPr="00030495">
              <w:rPr>
                <w:rFonts w:eastAsia="Cambria"/>
                <w:b w:val="0"/>
              </w:rPr>
              <w:t>CPI adjustment of apparatus licence tax is completed by April.</w:t>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5"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r>
      <w:tr w:rsidR="005065CD" w:rsidRPr="005065CD" w:rsidTr="006D24C2">
        <w:trPr>
          <w:trHeight w:val="422"/>
        </w:trPr>
        <w:tc>
          <w:tcPr>
            <w:cnfStyle w:val="001000000000" w:firstRow="0" w:lastRow="0" w:firstColumn="1" w:lastColumn="0" w:oddVBand="0" w:evenVBand="0" w:oddHBand="0" w:evenHBand="0" w:firstRowFirstColumn="0" w:firstRowLastColumn="0" w:lastRowFirstColumn="0" w:lastRowLastColumn="0"/>
            <w:tcW w:w="4832" w:type="dxa"/>
          </w:tcPr>
          <w:p w:rsidR="005065CD" w:rsidRPr="00030495" w:rsidRDefault="005065CD" w:rsidP="00030495">
            <w:pPr>
              <w:pStyle w:val="TableBody"/>
              <w:rPr>
                <w:b w:val="0"/>
              </w:rPr>
            </w:pPr>
            <w:r w:rsidRPr="00030495">
              <w:rPr>
                <w:rFonts w:eastAsia="Cambria"/>
                <w:b w:val="0"/>
              </w:rPr>
              <w:t>90</w:t>
            </w:r>
            <w:r w:rsidR="00030495">
              <w:rPr>
                <w:rFonts w:eastAsia="Cambria"/>
                <w:b w:val="0"/>
              </w:rPr>
              <w:t>%</w:t>
            </w:r>
            <w:r w:rsidRPr="00030495">
              <w:rPr>
                <w:rFonts w:eastAsia="Cambria"/>
                <w:b w:val="0"/>
              </w:rPr>
              <w:t xml:space="preserve"> of interference management activities completed within published timeframes.</w:t>
            </w:r>
          </w:p>
        </w:tc>
        <w:tc>
          <w:tcPr>
            <w:tcW w:w="1104"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5"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r>
      <w:tr w:rsidR="00030495" w:rsidRPr="005065CD" w:rsidTr="00994F5C">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5065CD" w:rsidRPr="00030495" w:rsidRDefault="005065CD" w:rsidP="0000657B">
            <w:pPr>
              <w:pStyle w:val="TableBody"/>
              <w:rPr>
                <w:rFonts w:eastAsia="Cambria"/>
                <w:b w:val="0"/>
              </w:rPr>
            </w:pPr>
            <w:r w:rsidRPr="00030495">
              <w:rPr>
                <w:rFonts w:eastAsia="Cambria"/>
                <w:b w:val="0"/>
              </w:rPr>
              <w:t xml:space="preserve">Interference Compliance and Enforcement Program is efficient and informed by a </w:t>
            </w:r>
            <w:hyperlink r:id="rId27" w:history="1">
              <w:proofErr w:type="spellStart"/>
              <w:r w:rsidR="00030495">
                <w:rPr>
                  <w:rFonts w:eastAsia="Cambria"/>
                  <w:b w:val="0"/>
                </w:rPr>
                <w:t>PCA</w:t>
              </w:r>
              <w:proofErr w:type="spellEnd"/>
              <w:r w:rsidR="00030495" w:rsidRPr="00030495">
                <w:rPr>
                  <w:rFonts w:eastAsia="Cambria"/>
                  <w:b w:val="0"/>
                </w:rPr>
                <w:t xml:space="preserve"> program</w:t>
              </w:r>
            </w:hyperlink>
            <w:r w:rsidRPr="00030495">
              <w:rPr>
                <w:rFonts w:eastAsia="Cambria"/>
                <w:b w:val="0"/>
              </w:rPr>
              <w:t xml:space="preserve"> developed in consultation with industry</w:t>
            </w:r>
            <w:r w:rsidR="004270DE">
              <w:rPr>
                <w:rFonts w:eastAsia="Cambria"/>
                <w:b w:val="0"/>
              </w:rPr>
              <w:t>.</w:t>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5"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r>
      <w:tr w:rsidR="005065CD" w:rsidRPr="005065CD" w:rsidTr="006D24C2">
        <w:trPr>
          <w:trHeight w:val="483"/>
        </w:trPr>
        <w:tc>
          <w:tcPr>
            <w:cnfStyle w:val="001000000000" w:firstRow="0" w:lastRow="0" w:firstColumn="1" w:lastColumn="0" w:oddVBand="0" w:evenVBand="0" w:oddHBand="0" w:evenHBand="0" w:firstRowFirstColumn="0" w:firstRowLastColumn="0" w:lastRowFirstColumn="0" w:lastRowLastColumn="0"/>
            <w:tcW w:w="4832" w:type="dxa"/>
          </w:tcPr>
          <w:p w:rsidR="005065CD" w:rsidRPr="00030495" w:rsidRDefault="005065CD" w:rsidP="000D05F3">
            <w:pPr>
              <w:pStyle w:val="TableBody"/>
              <w:rPr>
                <w:rFonts w:eastAsia="Cambria"/>
                <w:b w:val="0"/>
              </w:rPr>
            </w:pPr>
            <w:r w:rsidRPr="00030495">
              <w:rPr>
                <w:rFonts w:eastAsia="Cambria"/>
                <w:b w:val="0"/>
              </w:rPr>
              <w:t>Allocation of 90</w:t>
            </w:r>
            <w:r w:rsidR="00030495">
              <w:rPr>
                <w:rFonts w:eastAsia="Cambria"/>
                <w:b w:val="0"/>
              </w:rPr>
              <w:t>%</w:t>
            </w:r>
            <w:r w:rsidRPr="00030495">
              <w:rPr>
                <w:rFonts w:eastAsia="Cambria"/>
                <w:b w:val="0"/>
              </w:rPr>
              <w:t xml:space="preserve"> of new apparatus licences allocated within </w:t>
            </w:r>
            <w:r w:rsidR="000D05F3">
              <w:rPr>
                <w:rFonts w:eastAsia="Cambria"/>
                <w:b w:val="0"/>
              </w:rPr>
              <w:t>required</w:t>
            </w:r>
            <w:r w:rsidRPr="00030495">
              <w:rPr>
                <w:rFonts w:eastAsia="Cambria"/>
                <w:b w:val="0"/>
              </w:rPr>
              <w:t xml:space="preserve"> timeframes. </w:t>
            </w:r>
          </w:p>
        </w:tc>
        <w:tc>
          <w:tcPr>
            <w:tcW w:w="1104"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5" w:type="dxa"/>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r>
      <w:tr w:rsidR="005065CD" w:rsidRPr="005065CD" w:rsidTr="006D24C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5065CD" w:rsidRPr="00030495" w:rsidRDefault="005065CD" w:rsidP="008451C7">
            <w:pPr>
              <w:pStyle w:val="TableBody"/>
              <w:rPr>
                <w:rFonts w:eastAsia="Cambria"/>
                <w:b w:val="0"/>
              </w:rPr>
            </w:pPr>
            <w:r w:rsidRPr="00030495">
              <w:rPr>
                <w:rFonts w:eastAsia="Cambria"/>
                <w:b w:val="0"/>
              </w:rPr>
              <w:t>Telephone numbering provider meets milestone of 99</w:t>
            </w:r>
            <w:r w:rsidR="00030495">
              <w:rPr>
                <w:rFonts w:eastAsia="Cambria"/>
                <w:b w:val="0"/>
              </w:rPr>
              <w:t>%</w:t>
            </w:r>
            <w:r w:rsidRPr="00030495">
              <w:rPr>
                <w:rFonts w:eastAsia="Cambria"/>
                <w:b w:val="0"/>
              </w:rPr>
              <w:t xml:space="preserve"> of numbering allocation applications processed within </w:t>
            </w:r>
            <w:r w:rsidR="00030495">
              <w:rPr>
                <w:rFonts w:eastAsia="Cambria"/>
                <w:b w:val="0"/>
              </w:rPr>
              <w:t>5</w:t>
            </w:r>
            <w:r w:rsidR="00030495" w:rsidRPr="00030495">
              <w:rPr>
                <w:rFonts w:eastAsia="Cambria"/>
                <w:b w:val="0"/>
              </w:rPr>
              <w:t xml:space="preserve"> </w:t>
            </w:r>
            <w:r w:rsidRPr="00030495">
              <w:rPr>
                <w:rFonts w:eastAsia="Cambria"/>
                <w:b w:val="0"/>
              </w:rPr>
              <w:t xml:space="preserve">seconds. </w:t>
            </w:r>
          </w:p>
        </w:tc>
        <w:tc>
          <w:tcPr>
            <w:tcW w:w="1104" w:type="dxa"/>
            <w:shd w:val="clear" w:color="auto" w:fill="F2F2F2" w:themeFill="background1" w:themeFillShade="F2"/>
          </w:tcPr>
          <w:p w:rsidR="005065CD" w:rsidRPr="00030495"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030495">
              <w:rPr>
                <w:sz w:val="44"/>
                <w:szCs w:val="44"/>
              </w:rPr>
              <w:sym w:font="Wingdings" w:char="F0FC"/>
            </w:r>
          </w:p>
        </w:tc>
        <w:tc>
          <w:tcPr>
            <w:tcW w:w="1104" w:type="dxa"/>
            <w:shd w:val="clear" w:color="auto" w:fill="F2F2F2" w:themeFill="background1" w:themeFillShade="F2"/>
          </w:tcPr>
          <w:p w:rsidR="005065CD" w:rsidRPr="00030495"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030495">
              <w:rPr>
                <w:sz w:val="44"/>
                <w:szCs w:val="44"/>
              </w:rPr>
              <w:sym w:font="Wingdings" w:char="F0FC"/>
            </w:r>
          </w:p>
        </w:tc>
        <w:tc>
          <w:tcPr>
            <w:tcW w:w="1104" w:type="dxa"/>
            <w:shd w:val="clear" w:color="auto" w:fill="F2F2F2" w:themeFill="background1" w:themeFillShade="F2"/>
          </w:tcPr>
          <w:p w:rsidR="005065CD" w:rsidRPr="00030495"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030495">
              <w:rPr>
                <w:sz w:val="44"/>
                <w:szCs w:val="44"/>
              </w:rPr>
              <w:sym w:font="Wingdings" w:char="F0FC"/>
            </w:r>
          </w:p>
        </w:tc>
        <w:tc>
          <w:tcPr>
            <w:tcW w:w="1105" w:type="dxa"/>
            <w:shd w:val="clear" w:color="auto" w:fill="F2F2F2" w:themeFill="background1" w:themeFillShade="F2"/>
          </w:tcPr>
          <w:p w:rsidR="005065CD" w:rsidRPr="00030495"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030495">
              <w:rPr>
                <w:sz w:val="44"/>
                <w:szCs w:val="44"/>
              </w:rPr>
              <w:sym w:font="Wingdings" w:char="F0FC"/>
            </w:r>
          </w:p>
        </w:tc>
      </w:tr>
      <w:tr w:rsidR="005065CD" w:rsidRPr="005065CD" w:rsidTr="00B907F7">
        <w:trPr>
          <w:trHeight w:val="970"/>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5065CD" w:rsidRPr="00030495" w:rsidRDefault="005065CD" w:rsidP="005065CD">
            <w:pPr>
              <w:pStyle w:val="TableBody"/>
              <w:rPr>
                <w:rFonts w:eastAsia="Cambria"/>
                <w:b w:val="0"/>
              </w:rPr>
            </w:pPr>
            <w:r w:rsidRPr="00030495">
              <w:rPr>
                <w:rFonts w:eastAsia="Cambria"/>
                <w:b w:val="0"/>
              </w:rPr>
              <w:t xml:space="preserve">Undertake stakeholder engagement and consultation on the planning, allocation and use of spectrum, including by publication of updates to </w:t>
            </w:r>
            <w:proofErr w:type="spellStart"/>
            <w:r w:rsidRPr="00030495">
              <w:rPr>
                <w:rFonts w:eastAsia="Cambria"/>
                <w:b w:val="0"/>
              </w:rPr>
              <w:t>FYSO</w:t>
            </w:r>
            <w:proofErr w:type="spellEnd"/>
            <w:r w:rsidRPr="00030495">
              <w:rPr>
                <w:rFonts w:eastAsia="Cambria"/>
                <w:b w:val="0"/>
              </w:rPr>
              <w:t>, the mobile broadband work program, and holding topic-specific seminars, where appropriate.</w:t>
            </w:r>
          </w:p>
        </w:tc>
        <w:tc>
          <w:tcPr>
            <w:tcW w:w="1104" w:type="dxa"/>
            <w:shd w:val="clear" w:color="auto" w:fill="auto"/>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shd w:val="clear" w:color="auto" w:fill="auto"/>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shd w:val="clear" w:color="auto" w:fill="auto"/>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5" w:type="dxa"/>
            <w:shd w:val="clear" w:color="auto" w:fill="auto"/>
          </w:tcPr>
          <w:p w:rsidR="005065CD" w:rsidRPr="005065CD" w:rsidRDefault="005065CD" w:rsidP="005065CD">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r>
      <w:tr w:rsidR="005065CD" w:rsidRPr="005065CD" w:rsidTr="00B907F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5065CD" w:rsidRPr="00030495" w:rsidRDefault="005065CD" w:rsidP="00537F8E">
            <w:pPr>
              <w:pStyle w:val="TableBody"/>
              <w:rPr>
                <w:rFonts w:eastAsia="Cambria"/>
                <w:b w:val="0"/>
              </w:rPr>
            </w:pPr>
            <w:r w:rsidRPr="00030495">
              <w:rPr>
                <w:rFonts w:eastAsia="Cambria"/>
                <w:b w:val="0"/>
              </w:rPr>
              <w:t xml:space="preserve">Contributions to and implementation of spectrum reform processes are </w:t>
            </w:r>
            <w:r w:rsidR="00537F8E">
              <w:rPr>
                <w:rFonts w:eastAsia="Cambria"/>
                <w:b w:val="0"/>
              </w:rPr>
              <w:t>effective</w:t>
            </w:r>
            <w:r w:rsidRPr="00030495">
              <w:rPr>
                <w:rFonts w:eastAsia="Cambria"/>
                <w:b w:val="0"/>
              </w:rPr>
              <w:t xml:space="preserve">; ACMA advice and support for the government’s </w:t>
            </w:r>
            <w:r w:rsidR="00085A9D">
              <w:rPr>
                <w:rFonts w:eastAsia="Cambria"/>
                <w:b w:val="0"/>
              </w:rPr>
              <w:t>s</w:t>
            </w:r>
            <w:r w:rsidRPr="006D24C2">
              <w:rPr>
                <w:rFonts w:eastAsia="Cambria"/>
                <w:b w:val="0"/>
              </w:rPr>
              <w:t xml:space="preserve">pectrum and </w:t>
            </w:r>
            <w:r w:rsidR="00085A9D">
              <w:rPr>
                <w:rFonts w:eastAsia="Cambria"/>
                <w:b w:val="0"/>
              </w:rPr>
              <w:t>spectrum p</w:t>
            </w:r>
            <w:r w:rsidRPr="006D24C2">
              <w:rPr>
                <w:rFonts w:eastAsia="Cambria"/>
                <w:b w:val="0"/>
              </w:rPr>
              <w:t xml:space="preserve">ricing </w:t>
            </w:r>
            <w:r w:rsidR="00085A9D">
              <w:rPr>
                <w:rFonts w:eastAsia="Cambria"/>
                <w:b w:val="0"/>
              </w:rPr>
              <w:t>r</w:t>
            </w:r>
            <w:r w:rsidRPr="006D24C2">
              <w:rPr>
                <w:rFonts w:eastAsia="Cambria"/>
                <w:b w:val="0"/>
              </w:rPr>
              <w:t>eviews</w:t>
            </w:r>
            <w:r w:rsidRPr="00030495">
              <w:rPr>
                <w:rFonts w:eastAsia="Cambria"/>
                <w:b w:val="0"/>
              </w:rPr>
              <w:t xml:space="preserve"> meet the time</w:t>
            </w:r>
            <w:r w:rsidR="00030495">
              <w:rPr>
                <w:rFonts w:eastAsia="Cambria"/>
                <w:b w:val="0"/>
              </w:rPr>
              <w:t xml:space="preserve"> frames</w:t>
            </w:r>
            <w:r w:rsidR="00030495" w:rsidRPr="00030495">
              <w:rPr>
                <w:rFonts w:eastAsia="Cambria"/>
                <w:b w:val="0"/>
              </w:rPr>
              <w:t xml:space="preserve"> </w:t>
            </w:r>
            <w:r w:rsidRPr="00030495">
              <w:rPr>
                <w:rFonts w:eastAsia="Cambria"/>
                <w:b w:val="0"/>
              </w:rPr>
              <w:t xml:space="preserve">set by government. </w:t>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5" w:type="dxa"/>
            <w:shd w:val="clear" w:color="auto" w:fill="F2F2F2" w:themeFill="background1" w:themeFillShade="F2"/>
          </w:tcPr>
          <w:p w:rsidR="005065CD" w:rsidRPr="005065CD" w:rsidRDefault="005065CD" w:rsidP="005065CD">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r>
      <w:tr w:rsidR="00DF2ABA" w:rsidRPr="005065CD" w:rsidTr="00B907F7">
        <w:trPr>
          <w:trHeight w:val="723"/>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DF2ABA" w:rsidRPr="00030495" w:rsidRDefault="00DF2ABA" w:rsidP="00DF2ABA">
            <w:pPr>
              <w:pStyle w:val="TableBody"/>
              <w:rPr>
                <w:rFonts w:eastAsia="Cambria"/>
                <w:b w:val="0"/>
              </w:rPr>
            </w:pPr>
            <w:r w:rsidRPr="00030495">
              <w:rPr>
                <w:rFonts w:eastAsia="Cambria"/>
                <w:b w:val="0"/>
              </w:rPr>
              <w:t xml:space="preserve">Participation in international spectrum and coordination harmonisation by attending and contributing to relevant preparatory meetings leading up to the 2019 World </w:t>
            </w:r>
            <w:proofErr w:type="spellStart"/>
            <w:r w:rsidRPr="00030495">
              <w:rPr>
                <w:rFonts w:eastAsia="Cambria"/>
                <w:b w:val="0"/>
              </w:rPr>
              <w:t>Radiocommunication</w:t>
            </w:r>
            <w:proofErr w:type="spellEnd"/>
            <w:r w:rsidRPr="00030495">
              <w:rPr>
                <w:rFonts w:eastAsia="Cambria"/>
                <w:b w:val="0"/>
              </w:rPr>
              <w:t xml:space="preserve"> Conference</w:t>
            </w:r>
            <w:r>
              <w:rPr>
                <w:rFonts w:eastAsia="Cambria"/>
                <w:b w:val="0"/>
              </w:rPr>
              <w:t>.</w:t>
            </w: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5"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p>
        </w:tc>
      </w:tr>
      <w:tr w:rsidR="00DF2ABA" w:rsidRPr="005065CD" w:rsidTr="00B907F7">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DF2ABA" w:rsidRPr="00030495" w:rsidRDefault="00DF2ABA" w:rsidP="00DF2ABA">
            <w:pPr>
              <w:pStyle w:val="TableBody"/>
              <w:rPr>
                <w:rFonts w:eastAsia="Cambria"/>
                <w:b w:val="0"/>
              </w:rPr>
            </w:pPr>
            <w:r w:rsidRPr="00030495">
              <w:rPr>
                <w:rFonts w:eastAsia="Cambria"/>
                <w:b w:val="0"/>
              </w:rPr>
              <w:t xml:space="preserve">Administration and management of existing spectrum licensing and arrangements are effective and efficient; including update of </w:t>
            </w:r>
            <w:r>
              <w:rPr>
                <w:rFonts w:eastAsia="Cambria"/>
                <w:b w:val="0"/>
              </w:rPr>
              <w:t>l</w:t>
            </w:r>
            <w:r w:rsidRPr="00030495">
              <w:rPr>
                <w:rFonts w:eastAsia="Cambria"/>
                <w:b w:val="0"/>
              </w:rPr>
              <w:t xml:space="preserve">ow </w:t>
            </w:r>
            <w:r>
              <w:rPr>
                <w:rFonts w:eastAsia="Cambria"/>
                <w:b w:val="0"/>
              </w:rPr>
              <w:t>i</w:t>
            </w:r>
            <w:r w:rsidRPr="00030495">
              <w:rPr>
                <w:rFonts w:eastAsia="Cambria"/>
                <w:b w:val="0"/>
              </w:rPr>
              <w:t xml:space="preserve">nterference </w:t>
            </w:r>
            <w:r>
              <w:rPr>
                <w:rFonts w:eastAsia="Cambria"/>
                <w:b w:val="0"/>
              </w:rPr>
              <w:t>p</w:t>
            </w:r>
            <w:r w:rsidRPr="00030495">
              <w:rPr>
                <w:rFonts w:eastAsia="Cambria"/>
                <w:b w:val="0"/>
              </w:rPr>
              <w:t xml:space="preserve">otential </w:t>
            </w:r>
            <w:r>
              <w:rPr>
                <w:rFonts w:eastAsia="Cambria"/>
                <w:b w:val="0"/>
              </w:rPr>
              <w:t>d</w:t>
            </w:r>
            <w:r w:rsidRPr="00030495">
              <w:rPr>
                <w:rFonts w:eastAsia="Cambria"/>
                <w:b w:val="0"/>
              </w:rPr>
              <w:t xml:space="preserve">evices class licence completed by 30 June 2017. </w:t>
            </w: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p>
        </w:tc>
      </w:tr>
      <w:tr w:rsidR="00B907F7" w:rsidRPr="00DF2ABA" w:rsidTr="00B907F7">
        <w:trPr>
          <w:trHeight w:val="970"/>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B907F7" w:rsidRPr="00030495" w:rsidRDefault="00B907F7" w:rsidP="00537F8E">
            <w:pPr>
              <w:pStyle w:val="TableBody"/>
              <w:rPr>
                <w:rFonts w:eastAsia="Cambria"/>
                <w:b w:val="0"/>
              </w:rPr>
            </w:pPr>
            <w:r w:rsidRPr="00DF2ABA">
              <w:rPr>
                <w:rFonts w:eastAsia="Cambria"/>
                <w:b w:val="0"/>
              </w:rPr>
              <w:t>Administration of numbering allocation and licensing arrangements is efficient; numbering provider meets 100% of contractual milestones.</w:t>
            </w:r>
            <w:r w:rsidRPr="00DF2ABA">
              <w:rPr>
                <w:rFonts w:eastAsia="Cambria"/>
                <w:b w:val="0"/>
              </w:rPr>
              <w:tab/>
            </w:r>
          </w:p>
        </w:tc>
        <w:tc>
          <w:tcPr>
            <w:tcW w:w="1104" w:type="dxa"/>
            <w:shd w:val="clear" w:color="auto" w:fill="auto"/>
          </w:tcPr>
          <w:p w:rsidR="00B907F7" w:rsidRPr="00DF2ABA" w:rsidRDefault="00B907F7" w:rsidP="00F21AC6">
            <w:pPr>
              <w:pStyle w:val="TableBody"/>
              <w:cnfStyle w:val="000000000000" w:firstRow="0" w:lastRow="0" w:firstColumn="0" w:lastColumn="0" w:oddVBand="0" w:evenVBand="0" w:oddHBand="0" w:evenHBand="0" w:firstRowFirstColumn="0" w:firstRowLastColumn="0" w:lastRowFirstColumn="0" w:lastRowLastColumn="0"/>
              <w:rPr>
                <w:sz w:val="18"/>
                <w:szCs w:val="18"/>
              </w:rPr>
            </w:pPr>
            <w:r w:rsidRPr="005065CD">
              <w:rPr>
                <w:sz w:val="44"/>
                <w:szCs w:val="44"/>
              </w:rPr>
              <w:sym w:font="Wingdings" w:char="F0FC"/>
            </w:r>
          </w:p>
        </w:tc>
        <w:tc>
          <w:tcPr>
            <w:tcW w:w="1104" w:type="dxa"/>
            <w:shd w:val="clear" w:color="auto" w:fill="auto"/>
          </w:tcPr>
          <w:p w:rsidR="00B907F7" w:rsidRPr="00DF2ABA" w:rsidRDefault="00B907F7" w:rsidP="00F21AC6">
            <w:pPr>
              <w:pStyle w:val="TableBody"/>
              <w:cnfStyle w:val="000000000000" w:firstRow="0" w:lastRow="0" w:firstColumn="0" w:lastColumn="0" w:oddVBand="0" w:evenVBand="0" w:oddHBand="0" w:evenHBand="0" w:firstRowFirstColumn="0" w:firstRowLastColumn="0" w:lastRowFirstColumn="0" w:lastRowLastColumn="0"/>
              <w:rPr>
                <w:sz w:val="18"/>
                <w:szCs w:val="18"/>
              </w:rPr>
            </w:pPr>
          </w:p>
        </w:tc>
        <w:tc>
          <w:tcPr>
            <w:tcW w:w="1104" w:type="dxa"/>
            <w:shd w:val="clear" w:color="auto" w:fill="auto"/>
          </w:tcPr>
          <w:p w:rsidR="00B907F7" w:rsidRPr="00DF2ABA" w:rsidRDefault="00B907F7" w:rsidP="00F21AC6">
            <w:pPr>
              <w:pStyle w:val="TableBody"/>
              <w:cnfStyle w:val="000000000000" w:firstRow="0" w:lastRow="0" w:firstColumn="0" w:lastColumn="0" w:oddVBand="0" w:evenVBand="0" w:oddHBand="0" w:evenHBand="0" w:firstRowFirstColumn="0" w:firstRowLastColumn="0" w:lastRowFirstColumn="0" w:lastRowLastColumn="0"/>
              <w:rPr>
                <w:sz w:val="18"/>
                <w:szCs w:val="18"/>
              </w:rPr>
            </w:pPr>
          </w:p>
        </w:tc>
        <w:tc>
          <w:tcPr>
            <w:tcW w:w="1105" w:type="dxa"/>
            <w:shd w:val="clear" w:color="auto" w:fill="auto"/>
          </w:tcPr>
          <w:p w:rsidR="00B907F7" w:rsidRPr="00DF2ABA" w:rsidRDefault="00B907F7" w:rsidP="00F21AC6">
            <w:pPr>
              <w:pStyle w:val="TableBody"/>
              <w:cnfStyle w:val="000000000000" w:firstRow="0" w:lastRow="0" w:firstColumn="0" w:lastColumn="0" w:oddVBand="0" w:evenVBand="0" w:oddHBand="0" w:evenHBand="0" w:firstRowFirstColumn="0" w:firstRowLastColumn="0" w:lastRowFirstColumn="0" w:lastRowLastColumn="0"/>
              <w:rPr>
                <w:sz w:val="18"/>
                <w:szCs w:val="18"/>
              </w:rPr>
            </w:pPr>
          </w:p>
        </w:tc>
      </w:tr>
      <w:tr w:rsidR="00DF2ABA" w:rsidRPr="005065CD" w:rsidTr="006D24C2">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DF2ABA" w:rsidRPr="00030495" w:rsidRDefault="00DF2ABA" w:rsidP="00DF2ABA">
            <w:pPr>
              <w:pStyle w:val="TableBody"/>
              <w:rPr>
                <w:rFonts w:eastAsia="Cambria"/>
                <w:b w:val="0"/>
              </w:rPr>
            </w:pPr>
            <w:r w:rsidRPr="006D24C2">
              <w:rPr>
                <w:rFonts w:eastAsia="Cambria"/>
                <w:b w:val="0"/>
              </w:rPr>
              <w:t>Spectrum planning, allocation and pricing arrangements to maximise public value are effective and efficient, including:</w:t>
            </w:r>
          </w:p>
          <w:p w:rsidR="00DF2ABA" w:rsidRPr="00030495" w:rsidRDefault="00DF2ABA" w:rsidP="00DF2ABA">
            <w:pPr>
              <w:pStyle w:val="TableBody"/>
              <w:numPr>
                <w:ilvl w:val="0"/>
                <w:numId w:val="30"/>
              </w:numPr>
              <w:ind w:left="284" w:hanging="284"/>
              <w:rPr>
                <w:rFonts w:eastAsia="Cambria"/>
                <w:b w:val="0"/>
              </w:rPr>
            </w:pPr>
            <w:r w:rsidRPr="00030495">
              <w:rPr>
                <w:b w:val="0"/>
              </w:rPr>
              <w:t>commence consultation on the review of 1.5 GHz band</w:t>
            </w:r>
            <w:r w:rsidRPr="00030495">
              <w:rPr>
                <w:rFonts w:eastAsia="Cambria"/>
                <w:b w:val="0"/>
              </w:rPr>
              <w:t xml:space="preserve"> by 30 September 2016</w:t>
            </w:r>
          </w:p>
          <w:p w:rsidR="00DF2ABA" w:rsidRPr="00030495" w:rsidRDefault="00DF2ABA" w:rsidP="00DF2ABA">
            <w:pPr>
              <w:pStyle w:val="TableBody"/>
              <w:numPr>
                <w:ilvl w:val="0"/>
                <w:numId w:val="30"/>
              </w:numPr>
              <w:ind w:left="284" w:hanging="284"/>
              <w:rPr>
                <w:rFonts w:eastAsia="Cambria"/>
                <w:b w:val="0"/>
              </w:rPr>
            </w:pPr>
            <w:r w:rsidRPr="00030495">
              <w:rPr>
                <w:rFonts w:eastAsia="Cambria"/>
                <w:b w:val="0"/>
              </w:rPr>
              <w:t>completion of 900 MHz band review by 31</w:t>
            </w:r>
            <w:r>
              <w:rPr>
                <w:rFonts w:eastAsia="Cambria"/>
                <w:b w:val="0"/>
              </w:rPr>
              <w:t> </w:t>
            </w:r>
            <w:r w:rsidRPr="00030495">
              <w:rPr>
                <w:rFonts w:eastAsia="Cambria"/>
                <w:b w:val="0"/>
              </w:rPr>
              <w:t>December 2016</w:t>
            </w:r>
          </w:p>
          <w:p w:rsidR="00DF2ABA" w:rsidRPr="00030495" w:rsidRDefault="00DF2ABA" w:rsidP="00DF2ABA">
            <w:pPr>
              <w:pStyle w:val="TableBody"/>
              <w:numPr>
                <w:ilvl w:val="0"/>
                <w:numId w:val="30"/>
              </w:numPr>
              <w:ind w:left="284" w:hanging="284"/>
              <w:rPr>
                <w:rFonts w:eastAsia="Cambria"/>
                <w:b w:val="0"/>
              </w:rPr>
            </w:pPr>
            <w:r w:rsidRPr="00030495">
              <w:rPr>
                <w:rFonts w:eastAsia="Cambria"/>
                <w:b w:val="0"/>
              </w:rPr>
              <w:t>commencement of the implementation of 803–960 MHz band review by 30 September 2016</w:t>
            </w:r>
          </w:p>
          <w:p w:rsidR="00DF2ABA" w:rsidRPr="006D24C2" w:rsidRDefault="00DF2ABA" w:rsidP="00DF2ABA">
            <w:pPr>
              <w:pStyle w:val="TableBody"/>
              <w:numPr>
                <w:ilvl w:val="0"/>
                <w:numId w:val="30"/>
              </w:numPr>
              <w:ind w:left="284" w:hanging="284"/>
              <w:rPr>
                <w:b w:val="0"/>
              </w:rPr>
            </w:pPr>
            <w:r w:rsidRPr="006D24C2">
              <w:rPr>
                <w:b w:val="0"/>
              </w:rPr>
              <w:lastRenderedPageBreak/>
              <w:t>licensees in the 400 MHz band meet the requirements of milestones 2 and 3 in metropolitan and regional areas</w:t>
            </w:r>
          </w:p>
          <w:p w:rsidR="00DF2ABA" w:rsidRPr="00014AAD" w:rsidRDefault="00DF2ABA" w:rsidP="00DF2ABA">
            <w:pPr>
              <w:pStyle w:val="TableBody"/>
              <w:numPr>
                <w:ilvl w:val="0"/>
                <w:numId w:val="30"/>
              </w:numPr>
              <w:ind w:left="284" w:hanging="284"/>
              <w:rPr>
                <w:rFonts w:eastAsia="Cambria"/>
                <w:b w:val="0"/>
              </w:rPr>
            </w:pPr>
            <w:proofErr w:type="gramStart"/>
            <w:r w:rsidRPr="006D24C2">
              <w:rPr>
                <w:b w:val="0"/>
              </w:rPr>
              <w:t>implement</w:t>
            </w:r>
            <w:proofErr w:type="gramEnd"/>
            <w:r w:rsidRPr="006D24C2">
              <w:rPr>
                <w:b w:val="0"/>
              </w:rPr>
              <w:t xml:space="preserve"> government policy for the allocation of remaining spectrum in the 700 MHz band.</w:t>
            </w: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lastRenderedPageBreak/>
              <w:sym w:font="Wingdings" w:char="F0FC"/>
            </w: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p>
        </w:tc>
      </w:tr>
      <w:tr w:rsidR="00DF2ABA" w:rsidRPr="005065CD" w:rsidTr="00DD771A">
        <w:trPr>
          <w:trHeight w:val="364"/>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DF2ABA" w:rsidRPr="006D24C2" w:rsidRDefault="00DF2ABA" w:rsidP="00DF2ABA">
            <w:pPr>
              <w:pStyle w:val="TableBody"/>
              <w:rPr>
                <w:rFonts w:eastAsia="Cambria"/>
                <w:b w:val="0"/>
              </w:rPr>
            </w:pPr>
            <w:r w:rsidRPr="006D24C2">
              <w:rPr>
                <w:rFonts w:eastAsia="Cambria"/>
                <w:b w:val="0"/>
              </w:rPr>
              <w:lastRenderedPageBreak/>
              <w:t>Regularise digital radio licences in Canberra and Darwin</w:t>
            </w:r>
            <w:r>
              <w:rPr>
                <w:rFonts w:eastAsia="Cambria"/>
                <w:b w:val="0"/>
              </w:rPr>
              <w:t>.</w:t>
            </w: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5"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r>
      <w:tr w:rsidR="00DF2ABA" w:rsidRPr="005065CD" w:rsidTr="00DD771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DF2ABA" w:rsidRPr="006D24C2" w:rsidRDefault="00DF2ABA" w:rsidP="00DF2ABA">
            <w:pPr>
              <w:pStyle w:val="TableBody"/>
              <w:rPr>
                <w:rFonts w:eastAsia="Cambria"/>
                <w:b w:val="0"/>
              </w:rPr>
            </w:pPr>
            <w:r w:rsidRPr="006D24C2">
              <w:rPr>
                <w:rFonts w:eastAsia="Cambria"/>
                <w:b w:val="0"/>
              </w:rPr>
              <w:t>AM to FM conversion continues in markets determined from industry consultation.</w:t>
            </w: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4"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c>
          <w:tcPr>
            <w:tcW w:w="1105" w:type="dxa"/>
            <w:shd w:val="clear" w:color="auto" w:fill="F2F2F2" w:themeFill="background1" w:themeFillShade="F2"/>
          </w:tcPr>
          <w:p w:rsidR="00DF2ABA" w:rsidRPr="005065CD" w:rsidRDefault="00DF2ABA" w:rsidP="00DF2ABA">
            <w:pPr>
              <w:pStyle w:val="TableBody"/>
              <w:cnfStyle w:val="000000100000" w:firstRow="0" w:lastRow="0" w:firstColumn="0" w:lastColumn="0" w:oddVBand="0" w:evenVBand="0" w:oddHBand="1" w:evenHBand="0" w:firstRowFirstColumn="0" w:firstRowLastColumn="0" w:lastRowFirstColumn="0" w:lastRowLastColumn="0"/>
            </w:pPr>
            <w:r w:rsidRPr="005065CD">
              <w:rPr>
                <w:sz w:val="44"/>
                <w:szCs w:val="44"/>
              </w:rPr>
              <w:sym w:font="Wingdings" w:char="F0FC"/>
            </w:r>
          </w:p>
        </w:tc>
      </w:tr>
      <w:tr w:rsidR="00DF2ABA" w:rsidRPr="005065CD" w:rsidTr="00DD771A">
        <w:trPr>
          <w:trHeight w:val="240"/>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DF2ABA" w:rsidRPr="006D24C2" w:rsidRDefault="00DF2ABA" w:rsidP="00DF2ABA">
            <w:pPr>
              <w:pStyle w:val="TableBody"/>
              <w:rPr>
                <w:rFonts w:eastAsia="Cambria"/>
                <w:b w:val="0"/>
              </w:rPr>
            </w:pPr>
            <w:r w:rsidRPr="006D24C2">
              <w:rPr>
                <w:rFonts w:eastAsia="Cambria"/>
                <w:b w:val="0"/>
              </w:rPr>
              <w:t>Completion of 400 MHz band arrangements by 2019.</w:t>
            </w: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4"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r w:rsidRPr="005065CD">
              <w:rPr>
                <w:sz w:val="44"/>
                <w:szCs w:val="44"/>
              </w:rPr>
              <w:sym w:font="Wingdings" w:char="F0FC"/>
            </w:r>
          </w:p>
        </w:tc>
        <w:tc>
          <w:tcPr>
            <w:tcW w:w="1105" w:type="dxa"/>
            <w:shd w:val="clear" w:color="auto" w:fill="auto"/>
          </w:tcPr>
          <w:p w:rsidR="00DF2ABA" w:rsidRPr="005065CD" w:rsidRDefault="00DF2ABA" w:rsidP="00DF2ABA">
            <w:pPr>
              <w:pStyle w:val="TableBody"/>
              <w:cnfStyle w:val="000000000000" w:firstRow="0" w:lastRow="0" w:firstColumn="0" w:lastColumn="0" w:oddVBand="0" w:evenVBand="0" w:oddHBand="0" w:evenHBand="0" w:firstRowFirstColumn="0" w:firstRowLastColumn="0" w:lastRowFirstColumn="0" w:lastRowLastColumn="0"/>
            </w:pPr>
          </w:p>
        </w:tc>
      </w:tr>
    </w:tbl>
    <w:p w:rsidR="005065CD" w:rsidRDefault="005065CD" w:rsidP="005065CD">
      <w:pPr>
        <w:pStyle w:val="TableBody"/>
      </w:pPr>
    </w:p>
    <w:p w:rsidR="00070FB9" w:rsidRDefault="00070FB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1271"/>
        <w:gridCol w:w="6400"/>
      </w:tblGrid>
      <w:tr w:rsidR="009B4234" w:rsidTr="00AD6476">
        <w:tc>
          <w:tcPr>
            <w:tcW w:w="7671" w:type="dxa"/>
            <w:gridSpan w:val="2"/>
            <w:shd w:val="clear" w:color="auto" w:fill="F79820"/>
          </w:tcPr>
          <w:p w:rsidR="009B4234" w:rsidRPr="009B4234" w:rsidRDefault="00BA37F8" w:rsidP="00AD6476">
            <w:pPr>
              <w:spacing w:after="120"/>
              <w:rPr>
                <w:b/>
                <w:sz w:val="28"/>
                <w:szCs w:val="28"/>
              </w:rPr>
            </w:pPr>
            <w:r w:rsidRPr="00AE03F5">
              <w:lastRenderedPageBreak/>
              <w:t xml:space="preserve"> </w:t>
            </w:r>
            <w:proofErr w:type="spellStart"/>
            <w:r w:rsidR="009B4234" w:rsidRPr="009B4234">
              <w:rPr>
                <w:b/>
                <w:color w:val="FFFFFF" w:themeColor="background1"/>
                <w:sz w:val="28"/>
                <w:szCs w:val="28"/>
              </w:rPr>
              <w:t>KRA</w:t>
            </w:r>
            <w:proofErr w:type="spellEnd"/>
            <w:r w:rsidR="009B4234" w:rsidRPr="009B4234">
              <w:rPr>
                <w:b/>
                <w:color w:val="FFFFFF" w:themeColor="background1"/>
                <w:sz w:val="28"/>
                <w:szCs w:val="28"/>
              </w:rPr>
              <w:t xml:space="preserve"> </w:t>
            </w:r>
            <w:r w:rsidR="009B4234">
              <w:rPr>
                <w:b/>
                <w:color w:val="FFFFFF" w:themeColor="background1"/>
                <w:sz w:val="28"/>
                <w:szCs w:val="28"/>
              </w:rPr>
              <w:t>2</w:t>
            </w:r>
          </w:p>
        </w:tc>
      </w:tr>
      <w:tr w:rsidR="009B4234" w:rsidTr="00070FB9">
        <w:trPr>
          <w:trHeight w:val="1144"/>
        </w:trPr>
        <w:tc>
          <w:tcPr>
            <w:tcW w:w="1271" w:type="dxa"/>
          </w:tcPr>
          <w:p w:rsidR="009B4234" w:rsidRDefault="009B4234" w:rsidP="00AD6476">
            <w:pPr>
              <w:spacing w:after="0"/>
            </w:pPr>
            <w:r>
              <w:rPr>
                <w:noProof/>
              </w:rPr>
              <w:drawing>
                <wp:inline distT="0" distB="0" distL="0" distR="0" wp14:anchorId="5C2FE355" wp14:editId="343110F1">
                  <wp:extent cx="670186" cy="8004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ield-grey.png"/>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702932" cy="839563"/>
                          </a:xfrm>
                          <a:prstGeom prst="rect">
                            <a:avLst/>
                          </a:prstGeom>
                          <a:ln>
                            <a:noFill/>
                          </a:ln>
                          <a:extLst>
                            <a:ext uri="{53640926-AAD7-44D8-BBD7-CCE9431645EC}">
                              <a14:shadowObscured xmlns:a14="http://schemas.microsoft.com/office/drawing/2010/main"/>
                            </a:ext>
                          </a:extLst>
                        </pic:spPr>
                      </pic:pic>
                    </a:graphicData>
                  </a:graphic>
                </wp:inline>
              </w:drawing>
            </w:r>
          </w:p>
        </w:tc>
        <w:tc>
          <w:tcPr>
            <w:tcW w:w="6400" w:type="dxa"/>
          </w:tcPr>
          <w:p w:rsidR="009B4234" w:rsidRDefault="009B4234" w:rsidP="00537F8E">
            <w:pPr>
              <w:pStyle w:val="Heading2"/>
              <w:pageBreakBefore/>
              <w:spacing w:before="0" w:after="0"/>
              <w:outlineLvl w:val="1"/>
            </w:pPr>
            <w:bookmarkStart w:id="36" w:name="_Toc457898846"/>
            <w:r>
              <w:t>T</w:t>
            </w:r>
            <w:r w:rsidRPr="00C57C5C">
              <w:t xml:space="preserve">hat </w:t>
            </w:r>
            <w:r w:rsidRPr="00AE03F5">
              <w:t>consumer, citizen and audience safeguards are effective</w:t>
            </w:r>
            <w:r w:rsidR="00537F8E">
              <w:t xml:space="preserve"> and</w:t>
            </w:r>
            <w:r w:rsidRPr="00AE03F5">
              <w:t xml:space="preserve"> reflect community standards; and that national safety and security interests are appropriately supported in their p</w:t>
            </w:r>
            <w:r>
              <w:t>lanning and delivery of services</w:t>
            </w:r>
            <w:bookmarkEnd w:id="36"/>
          </w:p>
        </w:tc>
      </w:tr>
    </w:tbl>
    <w:p w:rsidR="00FF17D2" w:rsidRDefault="00BA37F8" w:rsidP="00070FB9">
      <w:pPr>
        <w:spacing w:before="240"/>
      </w:pPr>
      <w:r>
        <w:t>The ACMA’s aim</w:t>
      </w:r>
      <w:r w:rsidRPr="00723DC3">
        <w:t xml:space="preserve"> is to </w:t>
      </w:r>
      <w:r w:rsidR="00537F8E">
        <w:t xml:space="preserve">enable innovation in </w:t>
      </w:r>
      <w:r w:rsidRPr="00723DC3">
        <w:t xml:space="preserve">markets, </w:t>
      </w:r>
      <w:r w:rsidR="00537F8E">
        <w:t xml:space="preserve">allow </w:t>
      </w:r>
      <w:r>
        <w:t>competition to flourish and to encourage investment</w:t>
      </w:r>
      <w:r w:rsidRPr="00723DC3">
        <w:t xml:space="preserve"> by creating regulatory arrangements that are stable and predictable. </w:t>
      </w:r>
    </w:p>
    <w:p w:rsidR="00BA37F8" w:rsidRDefault="00537F8E" w:rsidP="00070FB9">
      <w:pPr>
        <w:spacing w:before="240"/>
      </w:pPr>
      <w:r>
        <w:t>T</w:t>
      </w:r>
      <w:r w:rsidR="00BA37F8" w:rsidRPr="00723DC3">
        <w:t>he ACMA will apply direct consumer, citizen and audience safeguard measures when necessary to underpin the functioning of an efficient market, or when industry self- or co-regulation</w:t>
      </w:r>
      <w:r w:rsidR="00BA37F8">
        <w:t xml:space="preserve"> does not deliver a user experience aligned with </w:t>
      </w:r>
      <w:r w:rsidR="00BA37F8" w:rsidRPr="00092F68">
        <w:t>community values and expectations</w:t>
      </w:r>
      <w:r w:rsidR="00BA37F8" w:rsidRPr="00723DC3">
        <w:t>. When intervention is required, the ACMA will apply the lowest-cost, most effective measure to safeguard the public interest.</w:t>
      </w:r>
    </w:p>
    <w:p w:rsidR="00BA37F8" w:rsidRDefault="00BA37F8" w:rsidP="00BA37F8">
      <w:r>
        <w:t>The ACMA works with internet service providers (ISPs) to help</w:t>
      </w:r>
      <w:r w:rsidRPr="00D4472B">
        <w:t xml:space="preserve"> home and small business users </w:t>
      </w:r>
      <w:r>
        <w:t xml:space="preserve">keep </w:t>
      </w:r>
      <w:r w:rsidRPr="00D4472B">
        <w:t>their computers</w:t>
      </w:r>
      <w:r>
        <w:t xml:space="preserve"> </w:t>
      </w:r>
      <w:r w:rsidRPr="00D4472B">
        <w:t>and networks secure</w:t>
      </w:r>
      <w:r w:rsidRPr="00092F68">
        <w:t>.</w:t>
      </w:r>
      <w:r>
        <w:t xml:space="preserve"> </w:t>
      </w:r>
      <w:r w:rsidRPr="00092F68">
        <w:t xml:space="preserve">The ACMA supports national safety and </w:t>
      </w:r>
      <w:r>
        <w:t xml:space="preserve">security interests through its </w:t>
      </w:r>
      <w:r w:rsidRPr="00092F68">
        <w:t>targeted regulation of the telecommunications and internet industries</w:t>
      </w:r>
      <w:r w:rsidRPr="008A009D">
        <w:t xml:space="preserve">, to ensure the accuracy of telephone identity and location information and </w:t>
      </w:r>
      <w:r w:rsidR="008451C7" w:rsidRPr="008A009D">
        <w:t>enforc</w:t>
      </w:r>
      <w:r w:rsidR="008451C7">
        <w:t>e</w:t>
      </w:r>
      <w:r w:rsidR="008451C7" w:rsidRPr="008A009D">
        <w:t xml:space="preserve"> </w:t>
      </w:r>
      <w:r w:rsidRPr="008A009D">
        <w:t>compliance with legislated safeguards.</w:t>
      </w:r>
    </w:p>
    <w:p w:rsidR="00BA37F8" w:rsidRPr="00D217AF" w:rsidRDefault="00BA37F8" w:rsidP="00085A9D">
      <w:pPr>
        <w:pStyle w:val="Heading3"/>
      </w:pPr>
      <w:bookmarkStart w:id="37" w:name="_Toc453682103"/>
      <w:bookmarkStart w:id="38" w:name="_Toc453828793"/>
      <w:bookmarkStart w:id="39" w:name="_Toc457898847"/>
      <w:r w:rsidRPr="00D217AF">
        <w:t>Priorities</w:t>
      </w:r>
      <w:bookmarkEnd w:id="37"/>
      <w:bookmarkEnd w:id="38"/>
      <w:bookmarkEnd w:id="39"/>
    </w:p>
    <w:p w:rsidR="00BA37F8" w:rsidRDefault="00BA37F8" w:rsidP="00BA37F8">
      <w:pPr>
        <w:spacing w:after="80"/>
      </w:pPr>
      <w:r>
        <w:t xml:space="preserve">The ACMA’s priorities for achieving the aims of </w:t>
      </w:r>
      <w:proofErr w:type="spellStart"/>
      <w:r>
        <w:t>KRA</w:t>
      </w:r>
      <w:proofErr w:type="spellEnd"/>
      <w:r>
        <w:t xml:space="preserve"> 2 are:</w:t>
      </w:r>
    </w:p>
    <w:p w:rsidR="00BA37F8" w:rsidRPr="00BA37F8" w:rsidRDefault="00BA37F8" w:rsidP="00BA37F8">
      <w:pPr>
        <w:pStyle w:val="ListNumber"/>
        <w:numPr>
          <w:ilvl w:val="0"/>
          <w:numId w:val="15"/>
        </w:numPr>
      </w:pPr>
      <w:r w:rsidRPr="00BA37F8">
        <w:t xml:space="preserve">Fostering industry compliance with codes and </w:t>
      </w:r>
      <w:r w:rsidR="00537F8E">
        <w:t>other</w:t>
      </w:r>
      <w:r w:rsidRPr="00BA37F8">
        <w:t xml:space="preserve"> requirements to ensure effective telecommunications and broadcasting safeguards for citizens, consumers and small businesses.</w:t>
      </w:r>
    </w:p>
    <w:p w:rsidR="00BA37F8" w:rsidRPr="00BA37F8" w:rsidRDefault="002305E3" w:rsidP="00BA37F8">
      <w:pPr>
        <w:pStyle w:val="ListNumber"/>
        <w:numPr>
          <w:ilvl w:val="0"/>
          <w:numId w:val="15"/>
        </w:numPr>
      </w:pPr>
      <w:r>
        <w:t>Ensuring</w:t>
      </w:r>
      <w:r w:rsidR="00BA37F8" w:rsidRPr="00BA37F8">
        <w:t xml:space="preserve"> industry compliance with standards and legislative requirements, including the Do Not Call Register Act and the Spam Act, to ensure effective unsolicited communications safeguards for citizens, consumers and small businesses.</w:t>
      </w:r>
    </w:p>
    <w:p w:rsidR="00BA37F8" w:rsidRPr="00BA37F8" w:rsidRDefault="00BA37F8" w:rsidP="00BA37F8">
      <w:pPr>
        <w:pStyle w:val="ListNumber"/>
        <w:numPr>
          <w:ilvl w:val="0"/>
          <w:numId w:val="15"/>
        </w:numPr>
      </w:pPr>
      <w:r w:rsidRPr="00BA37F8">
        <w:t>Partnering with ISPs, critical infrastructure providers and others to promote a secure online environment for consumers and businesses.</w:t>
      </w:r>
      <w:r w:rsidRPr="00BA37F8" w:rsidDel="0093346D">
        <w:t xml:space="preserve"> </w:t>
      </w:r>
    </w:p>
    <w:p w:rsidR="00BA37F8" w:rsidRPr="00BA37F8" w:rsidRDefault="00BA37F8" w:rsidP="006D24C2">
      <w:pPr>
        <w:pStyle w:val="ListNumber"/>
        <w:numPr>
          <w:ilvl w:val="0"/>
          <w:numId w:val="15"/>
        </w:numPr>
        <w:spacing w:after="240"/>
      </w:pPr>
      <w:r w:rsidRPr="00BA37F8">
        <w:t>In partnership with industry, working to improve the performance of Australia’s emergency call service, ensuring the security and reliability of critical communications services and providing appropriate support to law enforcement, emergency services and national security organisations.</w:t>
      </w:r>
    </w:p>
    <w:p w:rsidR="00BA37F8" w:rsidRDefault="00BA37F8" w:rsidP="00085A9D">
      <w:pPr>
        <w:pStyle w:val="Heading3"/>
      </w:pPr>
      <w:bookmarkStart w:id="40" w:name="_Toc453682104"/>
      <w:bookmarkStart w:id="41" w:name="_Toc453828794"/>
      <w:bookmarkStart w:id="42" w:name="_Toc457898848"/>
      <w:r>
        <w:t>Key activities contributing to annual work plan</w:t>
      </w:r>
      <w:bookmarkEnd w:id="40"/>
      <w:bookmarkEnd w:id="41"/>
      <w:bookmarkEnd w:id="42"/>
      <w:r>
        <w:t xml:space="preserve"> </w:t>
      </w:r>
    </w:p>
    <w:p w:rsidR="003E3B85" w:rsidRDefault="00BA37F8" w:rsidP="00BA37F8">
      <w:r>
        <w:t>T</w:t>
      </w:r>
      <w:r w:rsidRPr="00385464">
        <w:t>he key activities that the ACMA will conduct over the next four years</w:t>
      </w:r>
      <w:r>
        <w:t xml:space="preserve"> </w:t>
      </w:r>
      <w:r w:rsidR="008451C7">
        <w:t>to</w:t>
      </w:r>
      <w:r w:rsidRPr="00385464">
        <w:t xml:space="preserve"> support </w:t>
      </w:r>
      <w:r w:rsidR="008451C7">
        <w:t xml:space="preserve">the delivery of </w:t>
      </w:r>
      <w:proofErr w:type="spellStart"/>
      <w:r w:rsidRPr="00385464">
        <w:t>KRA</w:t>
      </w:r>
      <w:proofErr w:type="spellEnd"/>
      <w:r w:rsidRPr="00385464">
        <w:t xml:space="preserve"> </w:t>
      </w:r>
      <w:r>
        <w:t>2</w:t>
      </w:r>
      <w:r w:rsidRPr="00385464">
        <w:t xml:space="preserve"> outcomes are listed below. This list comprises </w:t>
      </w:r>
      <w:r>
        <w:t>significant projects and programs that</w:t>
      </w:r>
      <w:r w:rsidRPr="00385464">
        <w:t xml:space="preserve"> </w:t>
      </w:r>
      <w:r>
        <w:t xml:space="preserve">will be undertaken in addition to the ACMA’s core business-as-usual activities. </w:t>
      </w:r>
      <w:r w:rsidR="003E3B85">
        <w:br w:type="page"/>
      </w:r>
    </w:p>
    <w:p w:rsidR="00907029" w:rsidRDefault="006734C0" w:rsidP="006D24C2">
      <w:pPr>
        <w:pStyle w:val="ACMATableHeader"/>
      </w:pPr>
      <w:r w:rsidRPr="00850AE8">
        <w:lastRenderedPageBreak/>
        <w:t>Key activities to deliver</w:t>
      </w:r>
      <w:r>
        <w:t xml:space="preserve"> </w:t>
      </w:r>
      <w:proofErr w:type="spellStart"/>
      <w:r>
        <w:t>KRA</w:t>
      </w:r>
      <w:proofErr w:type="spellEnd"/>
      <w:r>
        <w:t xml:space="preserve"> 2</w:t>
      </w:r>
      <w:r w:rsidRPr="00850AE8">
        <w:t xml:space="preserve"> outcomes—2016–17</w:t>
      </w:r>
    </w:p>
    <w:tbl>
      <w:tblPr>
        <w:tblStyle w:val="TableGrid"/>
        <w:tblW w:w="0" w:type="auto"/>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5098"/>
        <w:gridCol w:w="2563"/>
      </w:tblGrid>
      <w:tr w:rsidR="00551401" w:rsidRPr="00551401" w:rsidTr="00AD6476">
        <w:trPr>
          <w:tblHeader/>
        </w:trPr>
        <w:tc>
          <w:tcPr>
            <w:tcW w:w="5098" w:type="dxa"/>
            <w:shd w:val="clear" w:color="auto" w:fill="F79820"/>
          </w:tcPr>
          <w:p w:rsidR="00551401" w:rsidRPr="008451C7" w:rsidRDefault="00551401" w:rsidP="008451C7">
            <w:pPr>
              <w:pStyle w:val="TableHeading"/>
              <w:rPr>
                <w:color w:val="FFFFFF" w:themeColor="background1"/>
              </w:rPr>
            </w:pPr>
            <w:r w:rsidRPr="008451C7">
              <w:rPr>
                <w:color w:val="FFFFFF" w:themeColor="background1"/>
              </w:rPr>
              <w:t>Project description</w:t>
            </w:r>
          </w:p>
        </w:tc>
        <w:tc>
          <w:tcPr>
            <w:tcW w:w="2563" w:type="dxa"/>
            <w:shd w:val="clear" w:color="auto" w:fill="F79820"/>
          </w:tcPr>
          <w:p w:rsidR="00551401" w:rsidRPr="008451C7" w:rsidRDefault="00551401" w:rsidP="008451C7">
            <w:pPr>
              <w:pStyle w:val="TableHeading"/>
              <w:rPr>
                <w:color w:val="FFFFFF" w:themeColor="background1"/>
              </w:rPr>
            </w:pPr>
            <w:r w:rsidRPr="008451C7">
              <w:rPr>
                <w:color w:val="FFFFFF" w:themeColor="background1"/>
              </w:rPr>
              <w:t>Proposed timings</w:t>
            </w:r>
          </w:p>
        </w:tc>
      </w:tr>
      <w:tr w:rsidR="00551401" w:rsidRPr="00551401" w:rsidTr="00ED168B">
        <w:tc>
          <w:tcPr>
            <w:tcW w:w="7661" w:type="dxa"/>
            <w:gridSpan w:val="2"/>
            <w:shd w:val="clear" w:color="auto" w:fill="F2F2F2" w:themeFill="background1" w:themeFillShade="F2"/>
          </w:tcPr>
          <w:p w:rsidR="00551401" w:rsidRPr="00907029" w:rsidRDefault="00551401" w:rsidP="00551401">
            <w:pPr>
              <w:pStyle w:val="TableBody"/>
              <w:rPr>
                <w:b/>
                <w:caps/>
                <w:sz w:val="18"/>
                <w:szCs w:val="18"/>
              </w:rPr>
            </w:pPr>
            <w:r w:rsidRPr="00907029">
              <w:rPr>
                <w:b/>
              </w:rPr>
              <w:t>Review and code registration activities:</w:t>
            </w:r>
          </w:p>
        </w:tc>
      </w:tr>
      <w:tr w:rsidR="00551401" w:rsidRPr="00551401" w:rsidTr="00ED168B">
        <w:tc>
          <w:tcPr>
            <w:tcW w:w="5098" w:type="dxa"/>
          </w:tcPr>
          <w:p w:rsidR="00551401" w:rsidRPr="00551401" w:rsidRDefault="00551401" w:rsidP="00D21747">
            <w:pPr>
              <w:pStyle w:val="TableBody"/>
              <w:ind w:left="170"/>
            </w:pPr>
            <w:r w:rsidRPr="00551401">
              <w:t>Review the Telemarketing &amp; Research Calls Industry Standard:</w:t>
            </w:r>
          </w:p>
          <w:p w:rsidR="00551401" w:rsidRPr="008451C7" w:rsidRDefault="00551401" w:rsidP="00D21747">
            <w:pPr>
              <w:pStyle w:val="TableBody"/>
              <w:numPr>
                <w:ilvl w:val="0"/>
                <w:numId w:val="30"/>
              </w:numPr>
              <w:ind w:left="477" w:hanging="284"/>
            </w:pPr>
            <w:r w:rsidRPr="008451C7">
              <w:t>consultation</w:t>
            </w:r>
          </w:p>
          <w:p w:rsidR="00551401" w:rsidRPr="00551401" w:rsidRDefault="00551401" w:rsidP="00D21747">
            <w:pPr>
              <w:pStyle w:val="TableBody"/>
              <w:numPr>
                <w:ilvl w:val="0"/>
                <w:numId w:val="30"/>
              </w:numPr>
              <w:ind w:left="477" w:hanging="284"/>
            </w:pPr>
            <w:r w:rsidRPr="008451C7">
              <w:t>new standard</w:t>
            </w:r>
          </w:p>
        </w:tc>
        <w:tc>
          <w:tcPr>
            <w:tcW w:w="2563" w:type="dxa"/>
          </w:tcPr>
          <w:p w:rsidR="00551401" w:rsidRPr="00551401" w:rsidRDefault="00551401" w:rsidP="006D24C2">
            <w:pPr>
              <w:pStyle w:val="TableBody"/>
              <w:spacing w:before="480"/>
              <w:rPr>
                <w:szCs w:val="20"/>
              </w:rPr>
            </w:pPr>
            <w:r w:rsidRPr="00551401">
              <w:rPr>
                <w:szCs w:val="20"/>
              </w:rPr>
              <w:t>July–September 2016</w:t>
            </w:r>
          </w:p>
          <w:p w:rsidR="00551401" w:rsidRPr="00551401" w:rsidRDefault="00551401" w:rsidP="0033382D">
            <w:pPr>
              <w:pStyle w:val="TableBody"/>
              <w:rPr>
                <w:sz w:val="18"/>
                <w:szCs w:val="18"/>
              </w:rPr>
            </w:pPr>
            <w:r w:rsidRPr="00551401">
              <w:rPr>
                <w:szCs w:val="20"/>
              </w:rPr>
              <w:t>January–March 2017</w:t>
            </w:r>
          </w:p>
        </w:tc>
      </w:tr>
      <w:tr w:rsidR="00551401" w:rsidRPr="00551401" w:rsidTr="00ED168B">
        <w:tc>
          <w:tcPr>
            <w:tcW w:w="5098" w:type="dxa"/>
          </w:tcPr>
          <w:p w:rsidR="00551401" w:rsidRPr="00551401" w:rsidRDefault="004270DE" w:rsidP="00D21747">
            <w:pPr>
              <w:pStyle w:val="TableBody"/>
              <w:ind w:left="170"/>
            </w:pPr>
            <w:r>
              <w:t>Statutory review of</w:t>
            </w:r>
            <w:r w:rsidR="00551401" w:rsidRPr="00551401">
              <w:t xml:space="preserve"> captioning regulatory framework (Part </w:t>
            </w:r>
            <w:proofErr w:type="spellStart"/>
            <w:r w:rsidR="00551401" w:rsidRPr="00551401">
              <w:t>9D</w:t>
            </w:r>
            <w:proofErr w:type="spellEnd"/>
            <w:r w:rsidR="00551401" w:rsidRPr="00551401">
              <w:t xml:space="preserve"> of </w:t>
            </w:r>
            <w:proofErr w:type="spellStart"/>
            <w:r w:rsidR="00551401" w:rsidRPr="00551401">
              <w:t>BSA</w:t>
            </w:r>
            <w:proofErr w:type="spellEnd"/>
            <w:r w:rsidR="00551401" w:rsidRPr="00551401">
              <w:t>):</w:t>
            </w:r>
          </w:p>
          <w:p w:rsidR="0033382D" w:rsidRDefault="008451C7" w:rsidP="00D21747">
            <w:pPr>
              <w:pStyle w:val="TableBody"/>
              <w:numPr>
                <w:ilvl w:val="0"/>
                <w:numId w:val="30"/>
              </w:numPr>
              <w:ind w:left="477" w:hanging="284"/>
            </w:pPr>
            <w:r>
              <w:t>u</w:t>
            </w:r>
            <w:r w:rsidR="00551401" w:rsidRPr="00551401">
              <w:t xml:space="preserve">ndertake </w:t>
            </w:r>
            <w:r w:rsidR="00537F8E">
              <w:t>review</w:t>
            </w:r>
          </w:p>
          <w:p w:rsidR="00551401" w:rsidRPr="00551401" w:rsidRDefault="00551401" w:rsidP="0033382D">
            <w:pPr>
              <w:pStyle w:val="TableBody"/>
              <w:numPr>
                <w:ilvl w:val="0"/>
                <w:numId w:val="30"/>
              </w:numPr>
              <w:ind w:left="477" w:hanging="284"/>
            </w:pPr>
            <w:r w:rsidRPr="00551401">
              <w:t xml:space="preserve">report to </w:t>
            </w:r>
            <w:r w:rsidR="008451C7">
              <w:t>m</w:t>
            </w:r>
            <w:r w:rsidRPr="00551401">
              <w:t>inister</w:t>
            </w:r>
          </w:p>
        </w:tc>
        <w:tc>
          <w:tcPr>
            <w:tcW w:w="2563" w:type="dxa"/>
          </w:tcPr>
          <w:p w:rsidR="0033382D" w:rsidRDefault="0033382D" w:rsidP="00551401">
            <w:pPr>
              <w:pStyle w:val="TableBody"/>
              <w:rPr>
                <w:szCs w:val="20"/>
              </w:rPr>
            </w:pPr>
          </w:p>
          <w:p w:rsidR="0033382D" w:rsidRDefault="0033382D" w:rsidP="0033382D">
            <w:pPr>
              <w:pStyle w:val="TableBody"/>
              <w:rPr>
                <w:szCs w:val="20"/>
              </w:rPr>
            </w:pPr>
          </w:p>
          <w:p w:rsidR="00551401" w:rsidRPr="00551401" w:rsidRDefault="00551401" w:rsidP="0033382D">
            <w:pPr>
              <w:pStyle w:val="TableBody"/>
              <w:rPr>
                <w:szCs w:val="20"/>
              </w:rPr>
            </w:pPr>
            <w:r w:rsidRPr="00551401">
              <w:rPr>
                <w:szCs w:val="20"/>
              </w:rPr>
              <w:t>October–December 2016</w:t>
            </w:r>
          </w:p>
          <w:p w:rsidR="00551401" w:rsidRPr="00551401" w:rsidRDefault="00551401" w:rsidP="0033382D">
            <w:pPr>
              <w:pStyle w:val="TableBody"/>
              <w:rPr>
                <w:sz w:val="18"/>
                <w:szCs w:val="18"/>
              </w:rPr>
            </w:pPr>
            <w:r w:rsidRPr="00551401">
              <w:rPr>
                <w:szCs w:val="20"/>
              </w:rPr>
              <w:t>By 30 June 2017</w:t>
            </w:r>
          </w:p>
        </w:tc>
      </w:tr>
      <w:tr w:rsidR="00551401" w:rsidRPr="00551401" w:rsidTr="00ED168B">
        <w:tc>
          <w:tcPr>
            <w:tcW w:w="5098" w:type="dxa"/>
          </w:tcPr>
          <w:p w:rsidR="00551401" w:rsidRPr="00551401" w:rsidRDefault="00551401" w:rsidP="00D21747">
            <w:pPr>
              <w:pStyle w:val="TableBody"/>
              <w:ind w:left="170"/>
            </w:pPr>
            <w:r w:rsidRPr="00551401">
              <w:t>Commercial Radio Broadcasting Code of Practice:</w:t>
            </w:r>
          </w:p>
          <w:p w:rsidR="00551401" w:rsidRPr="00551401" w:rsidRDefault="00551401" w:rsidP="006D24C2">
            <w:pPr>
              <w:pStyle w:val="TableBody"/>
              <w:numPr>
                <w:ilvl w:val="0"/>
                <w:numId w:val="30"/>
              </w:numPr>
              <w:ind w:left="477" w:hanging="284"/>
            </w:pPr>
            <w:r w:rsidRPr="00551401">
              <w:t xml:space="preserve">review </w:t>
            </w:r>
            <w:r w:rsidR="00537F8E">
              <w:t xml:space="preserve">and complete </w:t>
            </w:r>
            <w:r w:rsidRPr="00551401">
              <w:t xml:space="preserve">decision on registration </w:t>
            </w:r>
          </w:p>
        </w:tc>
        <w:tc>
          <w:tcPr>
            <w:tcW w:w="2563" w:type="dxa"/>
          </w:tcPr>
          <w:p w:rsidR="00551401" w:rsidRPr="00551401" w:rsidRDefault="00551401" w:rsidP="00551401">
            <w:pPr>
              <w:pStyle w:val="TableBody"/>
              <w:rPr>
                <w:szCs w:val="20"/>
              </w:rPr>
            </w:pPr>
            <w:r w:rsidRPr="00551401">
              <w:rPr>
                <w:szCs w:val="20"/>
              </w:rPr>
              <w:t>October–December 2016</w:t>
            </w:r>
          </w:p>
          <w:p w:rsidR="00551401" w:rsidRPr="00551401" w:rsidRDefault="00551401" w:rsidP="00551401">
            <w:pPr>
              <w:pStyle w:val="TableBody"/>
              <w:rPr>
                <w:sz w:val="18"/>
                <w:szCs w:val="18"/>
              </w:rPr>
            </w:pPr>
            <w:r w:rsidRPr="00551401">
              <w:rPr>
                <w:szCs w:val="20"/>
              </w:rPr>
              <w:t>January–March 2017</w:t>
            </w:r>
          </w:p>
        </w:tc>
      </w:tr>
      <w:tr w:rsidR="00551401" w:rsidRPr="00551401" w:rsidTr="00ED168B">
        <w:tc>
          <w:tcPr>
            <w:tcW w:w="5098" w:type="dxa"/>
          </w:tcPr>
          <w:p w:rsidR="00551401" w:rsidRPr="00551401" w:rsidRDefault="00551401" w:rsidP="00D21747">
            <w:pPr>
              <w:pStyle w:val="TableBody"/>
              <w:ind w:left="170"/>
            </w:pPr>
            <w:r w:rsidRPr="00551401">
              <w:t>Telecommunications Consumer Protections Code:</w:t>
            </w:r>
          </w:p>
          <w:p w:rsidR="00551401" w:rsidRPr="00551401" w:rsidRDefault="00551401" w:rsidP="006D24C2">
            <w:pPr>
              <w:pStyle w:val="TableBody"/>
              <w:numPr>
                <w:ilvl w:val="0"/>
                <w:numId w:val="30"/>
              </w:numPr>
              <w:ind w:left="477" w:hanging="284"/>
            </w:pPr>
            <w:r w:rsidRPr="00551401">
              <w:t>scheduled review of Communications Compliance arrangements</w:t>
            </w:r>
          </w:p>
        </w:tc>
        <w:tc>
          <w:tcPr>
            <w:tcW w:w="2563" w:type="dxa"/>
          </w:tcPr>
          <w:p w:rsidR="00551401" w:rsidRPr="00551401" w:rsidRDefault="00551401" w:rsidP="00D21747">
            <w:pPr>
              <w:pStyle w:val="TableBody"/>
              <w:spacing w:before="240"/>
              <w:rPr>
                <w:szCs w:val="20"/>
              </w:rPr>
            </w:pPr>
            <w:r w:rsidRPr="00551401">
              <w:rPr>
                <w:szCs w:val="20"/>
              </w:rPr>
              <w:t>April–June 2017</w:t>
            </w:r>
          </w:p>
        </w:tc>
      </w:tr>
      <w:tr w:rsidR="00551401" w:rsidRPr="00551401" w:rsidTr="00ED168B">
        <w:tc>
          <w:tcPr>
            <w:tcW w:w="5098" w:type="dxa"/>
          </w:tcPr>
          <w:p w:rsidR="00551401" w:rsidRPr="00551401" w:rsidRDefault="00551401" w:rsidP="00D21747">
            <w:pPr>
              <w:pStyle w:val="TableBody"/>
              <w:ind w:left="170"/>
            </w:pPr>
            <w:r w:rsidRPr="00551401">
              <w:t>Commercial Television Code of Practice:</w:t>
            </w:r>
          </w:p>
          <w:p w:rsidR="00551401" w:rsidRPr="00551401" w:rsidRDefault="00551401" w:rsidP="006D24C2">
            <w:pPr>
              <w:pStyle w:val="TableBody"/>
              <w:numPr>
                <w:ilvl w:val="0"/>
                <w:numId w:val="30"/>
              </w:numPr>
              <w:ind w:left="477" w:hanging="284"/>
            </w:pPr>
            <w:r w:rsidRPr="00551401">
              <w:t>monitor and report on operation</w:t>
            </w:r>
          </w:p>
        </w:tc>
        <w:tc>
          <w:tcPr>
            <w:tcW w:w="2563" w:type="dxa"/>
          </w:tcPr>
          <w:p w:rsidR="00551401" w:rsidRPr="00551401" w:rsidRDefault="00551401" w:rsidP="00D21747">
            <w:pPr>
              <w:pStyle w:val="TableBody"/>
              <w:spacing w:before="240"/>
              <w:rPr>
                <w:szCs w:val="20"/>
              </w:rPr>
            </w:pPr>
            <w:r w:rsidRPr="00551401">
              <w:rPr>
                <w:szCs w:val="20"/>
              </w:rPr>
              <w:t>October–December 2016</w:t>
            </w:r>
          </w:p>
        </w:tc>
      </w:tr>
      <w:tr w:rsidR="00551401" w:rsidRPr="00551401" w:rsidTr="00ED168B">
        <w:tc>
          <w:tcPr>
            <w:tcW w:w="7661" w:type="dxa"/>
            <w:gridSpan w:val="2"/>
            <w:shd w:val="clear" w:color="auto" w:fill="F2F2F2" w:themeFill="background1" w:themeFillShade="F2"/>
          </w:tcPr>
          <w:p w:rsidR="00551401" w:rsidRPr="00907029" w:rsidRDefault="00551401" w:rsidP="00551401">
            <w:pPr>
              <w:pStyle w:val="TableBody"/>
              <w:rPr>
                <w:b/>
              </w:rPr>
            </w:pPr>
            <w:r w:rsidRPr="00907029">
              <w:rPr>
                <w:b/>
              </w:rPr>
              <w:t>Research-related activities:</w:t>
            </w:r>
          </w:p>
        </w:tc>
      </w:tr>
      <w:tr w:rsidR="00551401" w:rsidRPr="00551401" w:rsidTr="00ED168B">
        <w:tc>
          <w:tcPr>
            <w:tcW w:w="5098" w:type="dxa"/>
          </w:tcPr>
          <w:p w:rsidR="00551401" w:rsidRPr="004270DE" w:rsidRDefault="004270DE" w:rsidP="000D05F3">
            <w:pPr>
              <w:pStyle w:val="TableBody"/>
              <w:ind w:left="170"/>
              <w:rPr>
                <w:bCs/>
              </w:rPr>
            </w:pPr>
            <w:r w:rsidRPr="004270DE">
              <w:t xml:space="preserve">Undertake research to improve the ACMA’s understanding of telemarketing, and fax, email and </w:t>
            </w:r>
            <w:proofErr w:type="spellStart"/>
            <w:r w:rsidRPr="004270DE">
              <w:t>SMS</w:t>
            </w:r>
            <w:proofErr w:type="spellEnd"/>
            <w:r w:rsidRPr="004270DE">
              <w:t xml:space="preserve"> marketing, in broader marketing environment</w:t>
            </w:r>
          </w:p>
        </w:tc>
        <w:tc>
          <w:tcPr>
            <w:tcW w:w="2563" w:type="dxa"/>
          </w:tcPr>
          <w:p w:rsidR="00551401" w:rsidRPr="00551401" w:rsidRDefault="00551401" w:rsidP="00551401">
            <w:pPr>
              <w:pStyle w:val="TableBody"/>
              <w:rPr>
                <w:bCs/>
              </w:rPr>
            </w:pPr>
            <w:r w:rsidRPr="00551401">
              <w:rPr>
                <w:bCs/>
              </w:rPr>
              <w:t>October–December 2016</w:t>
            </w:r>
          </w:p>
        </w:tc>
      </w:tr>
      <w:tr w:rsidR="00551401" w:rsidRPr="00551401" w:rsidTr="00ED168B">
        <w:tc>
          <w:tcPr>
            <w:tcW w:w="5098" w:type="dxa"/>
          </w:tcPr>
          <w:p w:rsidR="00551401" w:rsidRPr="004270DE" w:rsidRDefault="004270DE" w:rsidP="00D21747">
            <w:pPr>
              <w:pStyle w:val="TableBody"/>
              <w:ind w:left="170"/>
              <w:rPr>
                <w:bCs/>
              </w:rPr>
            </w:pPr>
            <w:r w:rsidRPr="004270DE">
              <w:rPr>
                <w:bCs/>
              </w:rPr>
              <w:t>Undertake research on end-users’ experience of, and capability to respond to, malware infections and online service vulnerabilities</w:t>
            </w:r>
          </w:p>
        </w:tc>
        <w:tc>
          <w:tcPr>
            <w:tcW w:w="2563" w:type="dxa"/>
          </w:tcPr>
          <w:p w:rsidR="00551401" w:rsidRPr="00551401" w:rsidRDefault="00551401" w:rsidP="00551401">
            <w:pPr>
              <w:pStyle w:val="TableBody"/>
              <w:rPr>
                <w:bCs/>
              </w:rPr>
            </w:pPr>
            <w:r w:rsidRPr="00551401">
              <w:rPr>
                <w:bCs/>
              </w:rPr>
              <w:t>October–December 2016</w:t>
            </w:r>
          </w:p>
        </w:tc>
      </w:tr>
      <w:tr w:rsidR="00551401" w:rsidRPr="00551401" w:rsidTr="00ED168B">
        <w:tc>
          <w:tcPr>
            <w:tcW w:w="5098" w:type="dxa"/>
          </w:tcPr>
          <w:p w:rsidR="00551401" w:rsidRPr="00551401" w:rsidRDefault="00551401" w:rsidP="00D21747">
            <w:pPr>
              <w:pStyle w:val="TableBody"/>
              <w:ind w:left="170"/>
              <w:rPr>
                <w:bCs/>
              </w:rPr>
            </w:pPr>
            <w:r w:rsidRPr="00551401">
              <w:rPr>
                <w:bCs/>
              </w:rPr>
              <w:t>Undertake research to inform regional broadcasting local content activities</w:t>
            </w:r>
          </w:p>
        </w:tc>
        <w:tc>
          <w:tcPr>
            <w:tcW w:w="2563" w:type="dxa"/>
          </w:tcPr>
          <w:p w:rsidR="00551401" w:rsidRPr="00551401" w:rsidRDefault="00551401" w:rsidP="00551401">
            <w:pPr>
              <w:pStyle w:val="TableBody"/>
              <w:rPr>
                <w:bCs/>
              </w:rPr>
            </w:pPr>
            <w:r w:rsidRPr="00551401">
              <w:rPr>
                <w:bCs/>
              </w:rPr>
              <w:t>April–June 2017</w:t>
            </w:r>
          </w:p>
        </w:tc>
      </w:tr>
      <w:tr w:rsidR="00551401" w:rsidRPr="00551401" w:rsidTr="00ED168B">
        <w:tc>
          <w:tcPr>
            <w:tcW w:w="7661" w:type="dxa"/>
            <w:gridSpan w:val="2"/>
            <w:shd w:val="clear" w:color="auto" w:fill="F2F2F2" w:themeFill="background1" w:themeFillShade="F2"/>
          </w:tcPr>
          <w:p w:rsidR="00551401" w:rsidRPr="00907029" w:rsidRDefault="00551401" w:rsidP="00551401">
            <w:pPr>
              <w:pStyle w:val="TableBody"/>
              <w:rPr>
                <w:b/>
              </w:rPr>
            </w:pPr>
            <w:r w:rsidRPr="00907029">
              <w:rPr>
                <w:b/>
                <w:bCs/>
              </w:rPr>
              <w:t>Revisions to legislative arrangements:</w:t>
            </w:r>
          </w:p>
        </w:tc>
      </w:tr>
      <w:tr w:rsidR="00551401" w:rsidRPr="00551401" w:rsidTr="00ED168B">
        <w:tc>
          <w:tcPr>
            <w:tcW w:w="5098" w:type="dxa"/>
          </w:tcPr>
          <w:p w:rsidR="00551401" w:rsidRPr="00551401" w:rsidRDefault="00551401" w:rsidP="00806B62">
            <w:pPr>
              <w:pStyle w:val="TableBody"/>
              <w:ind w:left="170"/>
            </w:pPr>
            <w:r w:rsidRPr="00551401">
              <w:t>Amend Telecommunications Identity Checks for Prepaid Mobile Services Determination</w:t>
            </w:r>
          </w:p>
        </w:tc>
        <w:tc>
          <w:tcPr>
            <w:tcW w:w="2563" w:type="dxa"/>
          </w:tcPr>
          <w:p w:rsidR="00551401" w:rsidRPr="00551401" w:rsidRDefault="00551401" w:rsidP="00551401">
            <w:pPr>
              <w:pStyle w:val="TableBody"/>
              <w:rPr>
                <w:bCs/>
              </w:rPr>
            </w:pPr>
            <w:r w:rsidRPr="00551401">
              <w:rPr>
                <w:bCs/>
              </w:rPr>
              <w:t>April–June 2017</w:t>
            </w:r>
          </w:p>
        </w:tc>
      </w:tr>
      <w:tr w:rsidR="00551401" w:rsidRPr="00551401" w:rsidTr="00ED168B">
        <w:tc>
          <w:tcPr>
            <w:tcW w:w="5098" w:type="dxa"/>
          </w:tcPr>
          <w:p w:rsidR="00551401" w:rsidRPr="00551401" w:rsidRDefault="00551401" w:rsidP="00806B62">
            <w:pPr>
              <w:pStyle w:val="TableBody"/>
              <w:ind w:left="170"/>
            </w:pPr>
            <w:r w:rsidRPr="00551401">
              <w:t>Remak</w:t>
            </w:r>
            <w:r w:rsidR="00806B62">
              <w:t xml:space="preserve">e </w:t>
            </w:r>
            <w:r w:rsidRPr="00551401">
              <w:t>Telecommunications Integrated Public Database Scheme 2007</w:t>
            </w:r>
          </w:p>
        </w:tc>
        <w:tc>
          <w:tcPr>
            <w:tcW w:w="2563" w:type="dxa"/>
          </w:tcPr>
          <w:p w:rsidR="00551401" w:rsidRPr="00551401" w:rsidRDefault="008451C7" w:rsidP="00551401">
            <w:pPr>
              <w:pStyle w:val="TableBody"/>
              <w:rPr>
                <w:bCs/>
              </w:rPr>
            </w:pPr>
            <w:r>
              <w:rPr>
                <w:bCs/>
              </w:rPr>
              <w:t>January–</w:t>
            </w:r>
            <w:r w:rsidR="00551401" w:rsidRPr="00551401">
              <w:rPr>
                <w:bCs/>
              </w:rPr>
              <w:t>March 2017</w:t>
            </w:r>
          </w:p>
        </w:tc>
      </w:tr>
      <w:tr w:rsidR="00551401" w:rsidRPr="00551401" w:rsidTr="00ED168B">
        <w:tc>
          <w:tcPr>
            <w:tcW w:w="5098" w:type="dxa"/>
          </w:tcPr>
          <w:p w:rsidR="00551401" w:rsidRPr="00551401" w:rsidRDefault="00551401" w:rsidP="00D21747">
            <w:pPr>
              <w:pStyle w:val="TableBody"/>
              <w:ind w:left="170"/>
            </w:pPr>
            <w:r w:rsidRPr="00551401">
              <w:t xml:space="preserve">Enhance the </w:t>
            </w:r>
            <w:r w:rsidR="00064383">
              <w:t>s</w:t>
            </w:r>
            <w:r w:rsidRPr="00551401">
              <w:t>pam intelligence database</w:t>
            </w:r>
            <w:r w:rsidR="005E2440">
              <w:t xml:space="preserve"> to improve process and performance times</w:t>
            </w:r>
          </w:p>
        </w:tc>
        <w:tc>
          <w:tcPr>
            <w:tcW w:w="2563" w:type="dxa"/>
          </w:tcPr>
          <w:p w:rsidR="00551401" w:rsidRPr="00551401" w:rsidRDefault="00551401" w:rsidP="00551401">
            <w:pPr>
              <w:pStyle w:val="TableBody"/>
            </w:pPr>
            <w:r w:rsidRPr="00551401">
              <w:t>April–June 2017</w:t>
            </w:r>
          </w:p>
        </w:tc>
      </w:tr>
    </w:tbl>
    <w:p w:rsidR="003E3B85" w:rsidRDefault="003E3B85" w:rsidP="00551401"/>
    <w:p w:rsidR="003E3B85" w:rsidRDefault="003E3B85">
      <w:pPr>
        <w:spacing w:after="0" w:line="240" w:lineRule="auto"/>
      </w:pPr>
      <w:r>
        <w:br w:type="page"/>
      </w:r>
    </w:p>
    <w:p w:rsidR="00907029" w:rsidRPr="00551401" w:rsidRDefault="006734C0" w:rsidP="006D24C2">
      <w:pPr>
        <w:pStyle w:val="ACMATableHeader"/>
      </w:pPr>
      <w:r w:rsidRPr="00850AE8">
        <w:lastRenderedPageBreak/>
        <w:t>Key activities to deliver</w:t>
      </w:r>
      <w:r>
        <w:t xml:space="preserve"> </w:t>
      </w:r>
      <w:proofErr w:type="spellStart"/>
      <w:r>
        <w:t>KRA</w:t>
      </w:r>
      <w:proofErr w:type="spellEnd"/>
      <w:r>
        <w:t xml:space="preserve"> 2</w:t>
      </w:r>
      <w:r w:rsidRPr="00850AE8">
        <w:t xml:space="preserve"> outcomes</w:t>
      </w:r>
      <w:r>
        <w:t>—</w:t>
      </w:r>
      <w:r w:rsidRPr="00850AE8">
        <w:t>2017 and beyond</w:t>
      </w:r>
    </w:p>
    <w:tbl>
      <w:tblPr>
        <w:tblStyle w:val="TableGrid"/>
        <w:tblW w:w="0" w:type="auto"/>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5116"/>
        <w:gridCol w:w="2545"/>
      </w:tblGrid>
      <w:tr w:rsidR="00551401" w:rsidRPr="00551401" w:rsidTr="00AD6476">
        <w:trPr>
          <w:tblHeader/>
        </w:trPr>
        <w:tc>
          <w:tcPr>
            <w:tcW w:w="5116" w:type="dxa"/>
            <w:shd w:val="clear" w:color="auto" w:fill="F79820"/>
          </w:tcPr>
          <w:p w:rsidR="00551401" w:rsidRPr="006D24C2" w:rsidRDefault="00551401" w:rsidP="006D24C2">
            <w:pPr>
              <w:pStyle w:val="TableHeading"/>
              <w:rPr>
                <w:color w:val="FFFFFF" w:themeColor="background1"/>
              </w:rPr>
            </w:pPr>
            <w:r w:rsidRPr="006D24C2">
              <w:rPr>
                <w:color w:val="FFFFFF" w:themeColor="background1"/>
              </w:rPr>
              <w:t>Project description</w:t>
            </w:r>
          </w:p>
        </w:tc>
        <w:tc>
          <w:tcPr>
            <w:tcW w:w="2545" w:type="dxa"/>
            <w:shd w:val="clear" w:color="auto" w:fill="F79820"/>
          </w:tcPr>
          <w:p w:rsidR="00551401" w:rsidRPr="006D24C2" w:rsidRDefault="00551401" w:rsidP="006D24C2">
            <w:pPr>
              <w:pStyle w:val="TableHeading"/>
              <w:rPr>
                <w:color w:val="FFFFFF" w:themeColor="background1"/>
              </w:rPr>
            </w:pPr>
            <w:r w:rsidRPr="006D24C2">
              <w:rPr>
                <w:color w:val="FFFFFF" w:themeColor="background1"/>
              </w:rPr>
              <w:t>Proposed timings</w:t>
            </w:r>
          </w:p>
        </w:tc>
      </w:tr>
      <w:tr w:rsidR="00551401" w:rsidRPr="00551401" w:rsidTr="00ED168B">
        <w:tc>
          <w:tcPr>
            <w:tcW w:w="5116" w:type="dxa"/>
          </w:tcPr>
          <w:p w:rsidR="00551401" w:rsidRPr="00551401" w:rsidRDefault="00551401" w:rsidP="00907029">
            <w:pPr>
              <w:pStyle w:val="TableBody"/>
            </w:pPr>
            <w:r w:rsidRPr="00551401">
              <w:t>A</w:t>
            </w:r>
            <w:r w:rsidR="00537F8E">
              <w:t xml:space="preserve">ustralian </w:t>
            </w:r>
            <w:r w:rsidRPr="00551401">
              <w:t>I</w:t>
            </w:r>
            <w:r w:rsidR="00537F8E">
              <w:t xml:space="preserve">nternet </w:t>
            </w:r>
            <w:r w:rsidRPr="00551401">
              <w:t>S</w:t>
            </w:r>
            <w:r w:rsidR="00537F8E">
              <w:t xml:space="preserve">ecurity </w:t>
            </w:r>
            <w:r w:rsidRPr="00551401">
              <w:t>I</w:t>
            </w:r>
            <w:r w:rsidR="00537F8E">
              <w:t>nitiative</w:t>
            </w:r>
            <w:r w:rsidRPr="00551401">
              <w:t xml:space="preserve"> member survey</w:t>
            </w:r>
            <w:r w:rsidRPr="00551401">
              <w:rPr>
                <w:sz w:val="18"/>
                <w:szCs w:val="18"/>
              </w:rPr>
              <w:t xml:space="preserve"> </w:t>
            </w:r>
          </w:p>
        </w:tc>
        <w:tc>
          <w:tcPr>
            <w:tcW w:w="2545" w:type="dxa"/>
          </w:tcPr>
          <w:p w:rsidR="00551401" w:rsidRPr="00551401" w:rsidRDefault="00551401" w:rsidP="00907029">
            <w:pPr>
              <w:pStyle w:val="TableBody"/>
              <w:rPr>
                <w:sz w:val="18"/>
                <w:szCs w:val="18"/>
              </w:rPr>
            </w:pPr>
            <w:r w:rsidRPr="00551401">
              <w:rPr>
                <w:szCs w:val="20"/>
              </w:rPr>
              <w:t>July–September 2019</w:t>
            </w:r>
          </w:p>
        </w:tc>
      </w:tr>
      <w:tr w:rsidR="003A7C9F" w:rsidRPr="00551401" w:rsidTr="00ED168B">
        <w:tc>
          <w:tcPr>
            <w:tcW w:w="7661" w:type="dxa"/>
            <w:gridSpan w:val="2"/>
            <w:shd w:val="clear" w:color="auto" w:fill="F2F2F2" w:themeFill="background1" w:themeFillShade="F2"/>
          </w:tcPr>
          <w:p w:rsidR="003A7C9F" w:rsidRPr="00D21747" w:rsidRDefault="003A7C9F" w:rsidP="006D24C2">
            <w:pPr>
              <w:pStyle w:val="TableBody"/>
              <w:rPr>
                <w:b/>
                <w:szCs w:val="20"/>
              </w:rPr>
            </w:pPr>
            <w:r w:rsidRPr="00D21747">
              <w:rPr>
                <w:b/>
              </w:rPr>
              <w:t>Review and code registration activities:</w:t>
            </w:r>
          </w:p>
        </w:tc>
      </w:tr>
      <w:tr w:rsidR="00551401" w:rsidRPr="00551401" w:rsidTr="00ED168B">
        <w:tc>
          <w:tcPr>
            <w:tcW w:w="5116" w:type="dxa"/>
          </w:tcPr>
          <w:p w:rsidR="00551401" w:rsidRPr="00551401" w:rsidRDefault="003A7C9F" w:rsidP="006D24C2">
            <w:pPr>
              <w:pStyle w:val="TableBody"/>
              <w:ind w:left="170"/>
            </w:pPr>
            <w:r>
              <w:t>R</w:t>
            </w:r>
            <w:r w:rsidR="00551401" w:rsidRPr="00551401">
              <w:t>eview of Do Not Call Register administrative determinations</w:t>
            </w:r>
          </w:p>
        </w:tc>
        <w:tc>
          <w:tcPr>
            <w:tcW w:w="2545" w:type="dxa"/>
          </w:tcPr>
          <w:p w:rsidR="00551401" w:rsidRPr="00551401" w:rsidRDefault="00551401" w:rsidP="00007989">
            <w:pPr>
              <w:pStyle w:val="TableBody"/>
              <w:rPr>
                <w:sz w:val="18"/>
                <w:szCs w:val="18"/>
              </w:rPr>
            </w:pPr>
            <w:r w:rsidRPr="00551401">
              <w:rPr>
                <w:szCs w:val="20"/>
              </w:rPr>
              <w:t>October–December 2018</w:t>
            </w:r>
          </w:p>
        </w:tc>
      </w:tr>
      <w:tr w:rsidR="00551401" w:rsidRPr="00551401" w:rsidTr="00ED168B">
        <w:tc>
          <w:tcPr>
            <w:tcW w:w="5116" w:type="dxa"/>
          </w:tcPr>
          <w:p w:rsidR="00551401" w:rsidRPr="00551401" w:rsidRDefault="00551401" w:rsidP="00806B62">
            <w:pPr>
              <w:pStyle w:val="TableBody"/>
              <w:ind w:left="170"/>
            </w:pPr>
            <w:r w:rsidRPr="00551401">
              <w:t>Implement industry-managed numbering</w:t>
            </w:r>
          </w:p>
        </w:tc>
        <w:tc>
          <w:tcPr>
            <w:tcW w:w="2545" w:type="dxa"/>
          </w:tcPr>
          <w:p w:rsidR="00551401" w:rsidRPr="00551401" w:rsidRDefault="00551401" w:rsidP="00FF7980">
            <w:pPr>
              <w:pStyle w:val="TableBody"/>
              <w:rPr>
                <w:szCs w:val="20"/>
              </w:rPr>
            </w:pPr>
            <w:r w:rsidRPr="00551401">
              <w:t xml:space="preserve">Consistent with </w:t>
            </w:r>
            <w:r w:rsidR="00FF7980">
              <w:t xml:space="preserve">government timeframes </w:t>
            </w:r>
          </w:p>
        </w:tc>
      </w:tr>
    </w:tbl>
    <w:p w:rsidR="00551401" w:rsidRDefault="00551401" w:rsidP="00ED168B">
      <w:pPr>
        <w:pStyle w:val="ACMASpaceaftertable"/>
        <w:spacing w:after="120"/>
      </w:pPr>
    </w:p>
    <w:p w:rsidR="00AF0D7E" w:rsidRPr="00D217AF" w:rsidRDefault="00AF0D7E" w:rsidP="00085A9D">
      <w:pPr>
        <w:pStyle w:val="Heading3"/>
      </w:pPr>
      <w:bookmarkStart w:id="43" w:name="_Toc453682107"/>
      <w:bookmarkStart w:id="44" w:name="_Toc453828795"/>
      <w:bookmarkStart w:id="45" w:name="_Toc457898849"/>
      <w:r>
        <w:t>Performance targets</w:t>
      </w:r>
      <w:bookmarkEnd w:id="43"/>
      <w:bookmarkEnd w:id="44"/>
      <w:bookmarkEnd w:id="45"/>
    </w:p>
    <w:p w:rsidR="006734C0" w:rsidRDefault="00AF0D7E" w:rsidP="00AF0D7E">
      <w:r>
        <w:t xml:space="preserve">The ACMA </w:t>
      </w:r>
      <w:r w:rsidRPr="00AF1C69">
        <w:t xml:space="preserve">will monitor </w:t>
      </w:r>
      <w:r>
        <w:t>its</w:t>
      </w:r>
      <w:r w:rsidRPr="00AF1C69">
        <w:t xml:space="preserve"> performance in </w:t>
      </w:r>
      <w:proofErr w:type="spellStart"/>
      <w:r w:rsidRPr="00AF1C69">
        <w:t>KRA</w:t>
      </w:r>
      <w:proofErr w:type="spellEnd"/>
      <w:r w:rsidRPr="00AF1C69">
        <w:t xml:space="preserve"> </w:t>
      </w:r>
      <w:r>
        <w:t>2</w:t>
      </w:r>
      <w:r w:rsidRPr="00AF1C69">
        <w:t xml:space="preserve"> </w:t>
      </w:r>
      <w:r>
        <w:t xml:space="preserve">across the life of this plan against </w:t>
      </w:r>
      <w:r w:rsidRPr="00AF1C69">
        <w:t xml:space="preserve">the </w:t>
      </w:r>
      <w:r>
        <w:t>performance targets</w:t>
      </w:r>
      <w:r w:rsidR="006734C0">
        <w:t xml:space="preserve"> in Table 6.</w:t>
      </w:r>
    </w:p>
    <w:p w:rsidR="00AF0D7E" w:rsidRDefault="006734C0" w:rsidP="006D24C2">
      <w:pPr>
        <w:pStyle w:val="ACMATableHeader"/>
      </w:pPr>
      <w:proofErr w:type="spellStart"/>
      <w:r w:rsidRPr="00AF1C69">
        <w:t>KRA</w:t>
      </w:r>
      <w:proofErr w:type="spellEnd"/>
      <w:r w:rsidRPr="00AF1C69">
        <w:t xml:space="preserve"> </w:t>
      </w:r>
      <w:r>
        <w:t>2</w:t>
      </w:r>
      <w:r w:rsidRPr="00AF1C69">
        <w:t xml:space="preserve"> </w:t>
      </w:r>
      <w:r>
        <w:t>performance targets, 2016–20</w:t>
      </w:r>
    </w:p>
    <w:tbl>
      <w:tblPr>
        <w:tblStyle w:val="GridTable4"/>
        <w:tblW w:w="9250" w:type="dxa"/>
        <w:tblLayout w:type="fixed"/>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4832"/>
        <w:gridCol w:w="1104"/>
        <w:gridCol w:w="1105"/>
        <w:gridCol w:w="1104"/>
        <w:gridCol w:w="1105"/>
      </w:tblGrid>
      <w:tr w:rsidR="00064383" w:rsidRPr="00AF0D7E" w:rsidTr="00AD6476">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4832" w:type="dxa"/>
            <w:shd w:val="clear" w:color="auto" w:fill="F79820"/>
            <w:vAlign w:val="center"/>
          </w:tcPr>
          <w:p w:rsidR="00064383" w:rsidRPr="006D24C2" w:rsidRDefault="00064383" w:rsidP="006D24C2">
            <w:pPr>
              <w:pStyle w:val="TableHeading"/>
              <w:rPr>
                <w:b/>
              </w:rPr>
            </w:pPr>
            <w:r w:rsidRPr="006D24C2">
              <w:rPr>
                <w:b/>
                <w:color w:val="F2F2F2" w:themeColor="background1" w:themeShade="F2"/>
              </w:rPr>
              <w:t>Target</w:t>
            </w:r>
          </w:p>
        </w:tc>
        <w:tc>
          <w:tcPr>
            <w:tcW w:w="1104" w:type="dxa"/>
            <w:shd w:val="clear" w:color="auto" w:fill="F79820"/>
            <w:vAlign w:val="center"/>
          </w:tcPr>
          <w:p w:rsidR="00064383" w:rsidRPr="006D24C2" w:rsidRDefault="00064383" w:rsidP="006D24C2">
            <w:pPr>
              <w:pStyle w:val="TableHeading"/>
              <w:cnfStyle w:val="100000000000" w:firstRow="1" w:lastRow="0" w:firstColumn="0" w:lastColumn="0" w:oddVBand="0" w:evenVBand="0" w:oddHBand="0" w:evenHBand="0" w:firstRowFirstColumn="0" w:firstRowLastColumn="0" w:lastRowFirstColumn="0" w:lastRowLastColumn="0"/>
              <w:rPr>
                <w:b/>
              </w:rPr>
            </w:pPr>
            <w:r w:rsidRPr="006D24C2">
              <w:rPr>
                <w:b/>
                <w:color w:val="F2F2F2" w:themeColor="background1" w:themeShade="F2"/>
              </w:rPr>
              <w:t>2016–17</w:t>
            </w:r>
          </w:p>
        </w:tc>
        <w:tc>
          <w:tcPr>
            <w:tcW w:w="1105" w:type="dxa"/>
            <w:shd w:val="clear" w:color="auto" w:fill="F79820"/>
            <w:vAlign w:val="center"/>
          </w:tcPr>
          <w:p w:rsidR="00064383" w:rsidRPr="006D24C2" w:rsidRDefault="00064383" w:rsidP="006D24C2">
            <w:pPr>
              <w:pStyle w:val="TableHeading"/>
              <w:cnfStyle w:val="100000000000" w:firstRow="1" w:lastRow="0" w:firstColumn="0" w:lastColumn="0" w:oddVBand="0" w:evenVBand="0" w:oddHBand="0" w:evenHBand="0" w:firstRowFirstColumn="0" w:firstRowLastColumn="0" w:lastRowFirstColumn="0" w:lastRowLastColumn="0"/>
              <w:rPr>
                <w:b/>
              </w:rPr>
            </w:pPr>
            <w:r w:rsidRPr="006D24C2">
              <w:rPr>
                <w:b/>
                <w:color w:val="F2F2F2" w:themeColor="background1" w:themeShade="F2"/>
              </w:rPr>
              <w:t>2017–18</w:t>
            </w:r>
          </w:p>
        </w:tc>
        <w:tc>
          <w:tcPr>
            <w:tcW w:w="1104" w:type="dxa"/>
            <w:shd w:val="clear" w:color="auto" w:fill="F79820"/>
            <w:vAlign w:val="center"/>
          </w:tcPr>
          <w:p w:rsidR="00064383" w:rsidRPr="006D24C2" w:rsidRDefault="00064383" w:rsidP="006D24C2">
            <w:pPr>
              <w:pStyle w:val="TableHeading"/>
              <w:cnfStyle w:val="100000000000" w:firstRow="1" w:lastRow="0" w:firstColumn="0" w:lastColumn="0" w:oddVBand="0" w:evenVBand="0" w:oddHBand="0" w:evenHBand="0" w:firstRowFirstColumn="0" w:firstRowLastColumn="0" w:lastRowFirstColumn="0" w:lastRowLastColumn="0"/>
              <w:rPr>
                <w:b/>
              </w:rPr>
            </w:pPr>
            <w:r w:rsidRPr="006D24C2">
              <w:rPr>
                <w:b/>
                <w:color w:val="F2F2F2" w:themeColor="background1" w:themeShade="F2"/>
              </w:rPr>
              <w:t>2018–19</w:t>
            </w:r>
          </w:p>
        </w:tc>
        <w:tc>
          <w:tcPr>
            <w:tcW w:w="1105" w:type="dxa"/>
            <w:shd w:val="clear" w:color="auto" w:fill="F79820"/>
            <w:vAlign w:val="center"/>
          </w:tcPr>
          <w:p w:rsidR="00064383" w:rsidRPr="006D24C2" w:rsidRDefault="00064383" w:rsidP="006D24C2">
            <w:pPr>
              <w:pStyle w:val="TableHeading"/>
              <w:cnfStyle w:val="100000000000" w:firstRow="1" w:lastRow="0" w:firstColumn="0" w:lastColumn="0" w:oddVBand="0" w:evenVBand="0" w:oddHBand="0" w:evenHBand="0" w:firstRowFirstColumn="0" w:firstRowLastColumn="0" w:lastRowFirstColumn="0" w:lastRowLastColumn="0"/>
              <w:rPr>
                <w:b/>
              </w:rPr>
            </w:pPr>
            <w:r w:rsidRPr="006D24C2">
              <w:rPr>
                <w:b/>
                <w:color w:val="F2F2F2" w:themeColor="background1" w:themeShade="F2"/>
              </w:rPr>
              <w:t>2019–20</w:t>
            </w: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686ADE">
            <w:pPr>
              <w:pStyle w:val="TableBody"/>
              <w:rPr>
                <w:b w:val="0"/>
              </w:rPr>
            </w:pPr>
            <w:r w:rsidRPr="00064383">
              <w:rPr>
                <w:rFonts w:eastAsia="Cambria"/>
                <w:b w:val="0"/>
              </w:rPr>
              <w:t>100</w:t>
            </w:r>
            <w:r w:rsidR="00064383">
              <w:rPr>
                <w:rFonts w:eastAsia="Cambria"/>
                <w:b w:val="0"/>
              </w:rPr>
              <w:t xml:space="preserve">% </w:t>
            </w:r>
            <w:r w:rsidRPr="00064383">
              <w:rPr>
                <w:rFonts w:eastAsia="Cambria"/>
                <w:b w:val="0"/>
              </w:rPr>
              <w:t xml:space="preserve">of telecommunications compliance investigations completed within an average of </w:t>
            </w:r>
            <w:r w:rsidR="00064383">
              <w:rPr>
                <w:rFonts w:eastAsia="Cambria"/>
                <w:b w:val="0"/>
              </w:rPr>
              <w:t>6 </w:t>
            </w:r>
            <w:r w:rsidRPr="00064383">
              <w:rPr>
                <w:rFonts w:eastAsia="Cambria"/>
                <w:b w:val="0"/>
              </w:rPr>
              <w:t>months.</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r>
      <w:tr w:rsidR="00AF0D7E" w:rsidRPr="00AF0D7E" w:rsidTr="006D24C2">
        <w:trPr>
          <w:trHeight w:val="580"/>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686ADE">
            <w:pPr>
              <w:pStyle w:val="TableBody"/>
              <w:rPr>
                <w:b w:val="0"/>
              </w:rPr>
            </w:pPr>
            <w:r w:rsidRPr="00064383">
              <w:rPr>
                <w:rFonts w:eastAsia="Cambria"/>
                <w:b w:val="0"/>
              </w:rPr>
              <w:t>Do Not Call Register services are available for at least 99</w:t>
            </w:r>
            <w:r w:rsidR="00064383">
              <w:rPr>
                <w:rFonts w:eastAsia="Cambria"/>
                <w:b w:val="0"/>
              </w:rPr>
              <w:t xml:space="preserve">% </w:t>
            </w:r>
            <w:r w:rsidRPr="00064383">
              <w:rPr>
                <w:rFonts w:eastAsia="Cambria"/>
                <w:b w:val="0"/>
              </w:rPr>
              <w:t>of their scheduled hours.</w:t>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AF0D7E">
            <w:pPr>
              <w:pStyle w:val="TableBody"/>
              <w:rPr>
                <w:rFonts w:eastAsia="Cambria"/>
                <w:b w:val="0"/>
              </w:rPr>
            </w:pPr>
            <w:r w:rsidRPr="00064383">
              <w:rPr>
                <w:rFonts w:eastAsia="Cambria"/>
                <w:b w:val="0"/>
              </w:rPr>
              <w:t>90</w:t>
            </w:r>
            <w:r w:rsidR="00064383">
              <w:rPr>
                <w:rFonts w:eastAsia="Cambria"/>
                <w:b w:val="0"/>
              </w:rPr>
              <w:t xml:space="preserve">% </w:t>
            </w:r>
            <w:r w:rsidRPr="00064383">
              <w:rPr>
                <w:rFonts w:eastAsia="Cambria"/>
                <w:b w:val="0"/>
              </w:rPr>
              <w:t>of complaints about unsolicited communications completed within 15 days.</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r>
      <w:tr w:rsidR="00AF0D7E" w:rsidRPr="00AF0D7E" w:rsidTr="006D24C2">
        <w:trPr>
          <w:trHeight w:val="488"/>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686ADE">
            <w:pPr>
              <w:pStyle w:val="TableBody"/>
              <w:rPr>
                <w:rFonts w:eastAsia="Cambria"/>
                <w:b w:val="0"/>
              </w:rPr>
            </w:pPr>
            <w:r w:rsidRPr="00064383">
              <w:rPr>
                <w:rFonts w:eastAsia="Cambria"/>
                <w:b w:val="0"/>
              </w:rPr>
              <w:t>100</w:t>
            </w:r>
            <w:r w:rsidR="00064383">
              <w:rPr>
                <w:rFonts w:eastAsia="Cambria"/>
                <w:b w:val="0"/>
              </w:rPr>
              <w:t xml:space="preserve">% </w:t>
            </w:r>
            <w:r w:rsidRPr="00064383">
              <w:rPr>
                <w:rFonts w:eastAsia="Cambria"/>
                <w:b w:val="0"/>
              </w:rPr>
              <w:t xml:space="preserve">of unsolicited communications investigations completed within an average of </w:t>
            </w:r>
            <w:r w:rsidR="00064383">
              <w:rPr>
                <w:rFonts w:eastAsia="Cambria"/>
                <w:b w:val="0"/>
              </w:rPr>
              <w:t>8</w:t>
            </w:r>
            <w:r w:rsidR="00064383" w:rsidRPr="00064383">
              <w:rPr>
                <w:rFonts w:eastAsia="Cambria"/>
                <w:b w:val="0"/>
              </w:rPr>
              <w:t xml:space="preserve"> </w:t>
            </w:r>
            <w:r w:rsidRPr="00064383">
              <w:rPr>
                <w:rFonts w:eastAsia="Cambria"/>
                <w:b w:val="0"/>
              </w:rPr>
              <w:t>months</w:t>
            </w:r>
            <w:r w:rsidR="004270DE">
              <w:rPr>
                <w:rFonts w:eastAsia="Cambria"/>
                <w:b w:val="0"/>
              </w:rPr>
              <w:t>.</w:t>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686ADE">
            <w:pPr>
              <w:pStyle w:val="TableBody"/>
              <w:rPr>
                <w:rFonts w:eastAsia="Cambria"/>
                <w:b w:val="0"/>
              </w:rPr>
            </w:pPr>
            <w:r w:rsidRPr="00064383">
              <w:rPr>
                <w:rFonts w:eastAsia="Cambria"/>
                <w:b w:val="0"/>
              </w:rPr>
              <w:t>100</w:t>
            </w:r>
            <w:r w:rsidR="00064383">
              <w:rPr>
                <w:rFonts w:eastAsia="Cambria"/>
                <w:b w:val="0"/>
              </w:rPr>
              <w:t>%</w:t>
            </w:r>
            <w:r w:rsidRPr="00064383">
              <w:rPr>
                <w:rFonts w:eastAsia="Cambria"/>
                <w:b w:val="0"/>
              </w:rPr>
              <w:t xml:space="preserve"> of broadcasting compliance investigations completed within an average of </w:t>
            </w:r>
            <w:r w:rsidR="00064383">
              <w:rPr>
                <w:rFonts w:eastAsia="Cambria"/>
                <w:b w:val="0"/>
              </w:rPr>
              <w:t>6</w:t>
            </w:r>
            <w:r w:rsidR="00064383" w:rsidRPr="00064383">
              <w:rPr>
                <w:rFonts w:eastAsia="Cambria"/>
                <w:b w:val="0"/>
              </w:rPr>
              <w:t xml:space="preserve"> </w:t>
            </w:r>
            <w:r w:rsidRPr="00064383">
              <w:rPr>
                <w:rFonts w:eastAsia="Cambria"/>
                <w:b w:val="0"/>
              </w:rPr>
              <w:t>months.</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r>
      <w:tr w:rsidR="00AF0D7E" w:rsidRPr="00AF0D7E" w:rsidTr="006D24C2">
        <w:trPr>
          <w:trHeight w:val="638"/>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C11363">
            <w:pPr>
              <w:pStyle w:val="TableBody"/>
              <w:rPr>
                <w:rFonts w:eastAsia="Cambria"/>
                <w:b w:val="0"/>
              </w:rPr>
            </w:pPr>
            <w:r w:rsidRPr="00064383">
              <w:rPr>
                <w:rFonts w:eastAsia="Cambria"/>
                <w:b w:val="0"/>
              </w:rPr>
              <w:t>99</w:t>
            </w:r>
            <w:r w:rsidR="00064383">
              <w:rPr>
                <w:rFonts w:eastAsia="Cambria"/>
                <w:b w:val="0"/>
              </w:rPr>
              <w:t>%</w:t>
            </w:r>
            <w:r w:rsidRPr="00064383">
              <w:rPr>
                <w:rFonts w:eastAsia="Cambria"/>
                <w:b w:val="0"/>
              </w:rPr>
              <w:t xml:space="preserve"> of notifications of malware infections and vulnerabilities are made to </w:t>
            </w:r>
            <w:proofErr w:type="spellStart"/>
            <w:r w:rsidR="00F17DC5">
              <w:rPr>
                <w:rFonts w:eastAsia="Cambria"/>
                <w:b w:val="0"/>
              </w:rPr>
              <w:t>AISI</w:t>
            </w:r>
            <w:proofErr w:type="spellEnd"/>
            <w:r w:rsidRPr="00064383">
              <w:rPr>
                <w:rFonts w:eastAsia="Cambria"/>
                <w:b w:val="0"/>
              </w:rPr>
              <w:t xml:space="preserve"> partners within 24 hours.</w:t>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DF2ABA">
            <w:pPr>
              <w:pStyle w:val="TableBody"/>
              <w:rPr>
                <w:rFonts w:eastAsia="Cambria"/>
                <w:b w:val="0"/>
              </w:rPr>
            </w:pPr>
            <w:r w:rsidRPr="00064383">
              <w:rPr>
                <w:rFonts w:eastAsia="Cambria"/>
                <w:b w:val="0"/>
              </w:rPr>
              <w:t>Facilitat</w:t>
            </w:r>
            <w:r w:rsidR="00806B62">
              <w:rPr>
                <w:rFonts w:eastAsia="Cambria"/>
                <w:b w:val="0"/>
              </w:rPr>
              <w:t xml:space="preserve">ion of </w:t>
            </w:r>
            <w:r w:rsidRPr="00064383">
              <w:rPr>
                <w:rFonts w:eastAsia="Cambria"/>
                <w:b w:val="0"/>
              </w:rPr>
              <w:t>emergency call service obligations is efficient, with 100</w:t>
            </w:r>
            <w:r w:rsidR="00064383">
              <w:rPr>
                <w:rFonts w:eastAsia="Cambria"/>
                <w:b w:val="0"/>
              </w:rPr>
              <w:t>%</w:t>
            </w:r>
            <w:r w:rsidRPr="00064383">
              <w:rPr>
                <w:rFonts w:eastAsia="Cambria"/>
                <w:b w:val="0"/>
              </w:rPr>
              <w:t xml:space="preserve"> of </w:t>
            </w:r>
            <w:r w:rsidR="004F0E0C">
              <w:rPr>
                <w:rFonts w:eastAsia="Cambria"/>
                <w:b w:val="0"/>
              </w:rPr>
              <w:t>post-compl</w:t>
            </w:r>
            <w:r w:rsidR="00DF2ABA">
              <w:rPr>
                <w:rFonts w:eastAsia="Cambria"/>
                <w:b w:val="0"/>
              </w:rPr>
              <w:t>ain</w:t>
            </w:r>
            <w:r w:rsidR="004F0E0C">
              <w:rPr>
                <w:rFonts w:eastAsia="Cambria"/>
                <w:b w:val="0"/>
              </w:rPr>
              <w:t xml:space="preserve">t </w:t>
            </w:r>
            <w:r w:rsidRPr="00064383">
              <w:rPr>
                <w:rFonts w:eastAsia="Cambria"/>
                <w:b w:val="0"/>
              </w:rPr>
              <w:t xml:space="preserve">investigations into compliance and other activities completed within an average of </w:t>
            </w:r>
            <w:r w:rsidR="00064383">
              <w:rPr>
                <w:rFonts w:eastAsia="Cambria"/>
                <w:b w:val="0"/>
              </w:rPr>
              <w:t>6 </w:t>
            </w:r>
            <w:r w:rsidRPr="00064383">
              <w:rPr>
                <w:rFonts w:eastAsia="Cambria"/>
                <w:b w:val="0"/>
              </w:rPr>
              <w:t>months.</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r>
      <w:tr w:rsidR="00AF0D7E" w:rsidRPr="00AF0D7E" w:rsidTr="006D24C2">
        <w:trPr>
          <w:trHeight w:val="625"/>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686ADE">
            <w:pPr>
              <w:pStyle w:val="TableBody"/>
              <w:rPr>
                <w:rFonts w:eastAsia="Cambria"/>
                <w:b w:val="0"/>
              </w:rPr>
            </w:pPr>
            <w:r w:rsidRPr="00064383">
              <w:rPr>
                <w:rFonts w:eastAsia="Cambria"/>
                <w:b w:val="0"/>
              </w:rPr>
              <w:t>100</w:t>
            </w:r>
            <w:r w:rsidR="00064383">
              <w:rPr>
                <w:rFonts w:eastAsia="Cambria"/>
                <w:b w:val="0"/>
              </w:rPr>
              <w:t>%</w:t>
            </w:r>
            <w:r w:rsidRPr="00064383">
              <w:rPr>
                <w:rFonts w:eastAsia="Cambria"/>
                <w:b w:val="0"/>
              </w:rPr>
              <w:t xml:space="preserve"> of </w:t>
            </w:r>
            <w:r w:rsidR="00064383">
              <w:rPr>
                <w:rFonts w:eastAsia="Cambria"/>
                <w:b w:val="0"/>
              </w:rPr>
              <w:t>i</w:t>
            </w:r>
            <w:r w:rsidRPr="00064383">
              <w:rPr>
                <w:rFonts w:eastAsia="Cambria"/>
                <w:b w:val="0"/>
              </w:rPr>
              <w:t xml:space="preserve">nteractive gambling complaints and investigations are completed within an average of </w:t>
            </w:r>
            <w:r w:rsidR="00064383">
              <w:rPr>
                <w:rFonts w:eastAsia="Cambria"/>
                <w:b w:val="0"/>
              </w:rPr>
              <w:t>6 </w:t>
            </w:r>
            <w:r w:rsidRPr="00064383">
              <w:rPr>
                <w:rFonts w:eastAsia="Cambria"/>
                <w:b w:val="0"/>
              </w:rPr>
              <w:t>months.</w:t>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6D24C2">
            <w:pPr>
              <w:pStyle w:val="TableBody"/>
              <w:spacing w:after="60"/>
              <w:rPr>
                <w:b w:val="0"/>
              </w:rPr>
            </w:pPr>
            <w:r w:rsidRPr="00064383">
              <w:rPr>
                <w:b w:val="0"/>
              </w:rPr>
              <w:t>Facilitate the efficient review of telecommunications operational codes to ensure effective operation.</w:t>
            </w:r>
          </w:p>
          <w:p w:rsidR="00AF0D7E" w:rsidRPr="00064383" w:rsidRDefault="00AF0D7E" w:rsidP="00686ADE">
            <w:pPr>
              <w:pStyle w:val="TableBody"/>
              <w:rPr>
                <w:rFonts w:eastAsia="Cambria"/>
                <w:b w:val="0"/>
              </w:rPr>
            </w:pPr>
            <w:r w:rsidRPr="00064383">
              <w:rPr>
                <w:b w:val="0"/>
              </w:rPr>
              <w:t xml:space="preserve">Decision to register all operational codes made within </w:t>
            </w:r>
            <w:r w:rsidR="00064383">
              <w:rPr>
                <w:b w:val="0"/>
              </w:rPr>
              <w:t>2</w:t>
            </w:r>
            <w:r w:rsidR="00064383" w:rsidRPr="00064383">
              <w:rPr>
                <w:b w:val="0"/>
              </w:rPr>
              <w:t xml:space="preserve"> </w:t>
            </w:r>
            <w:r w:rsidRPr="00064383">
              <w:rPr>
                <w:b w:val="0"/>
              </w:rPr>
              <w:t>months of receipt.</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r>
      <w:tr w:rsidR="00AF0D7E" w:rsidRPr="00AF0D7E" w:rsidTr="006D24C2">
        <w:trPr>
          <w:trHeight w:val="924"/>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AF0D7E">
            <w:pPr>
              <w:pStyle w:val="TableBody"/>
              <w:rPr>
                <w:rFonts w:eastAsia="Cambria"/>
                <w:b w:val="0"/>
              </w:rPr>
            </w:pPr>
            <w:r w:rsidRPr="00064383">
              <w:rPr>
                <w:b w:val="0"/>
              </w:rPr>
              <w:t>Engage effectively with industry on ACMA compliance decision-making principles, with the provision of published investigation reports and regularly updated investigation concepts papers.</w:t>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C15DA3">
            <w:pPr>
              <w:pStyle w:val="TableBody"/>
              <w:rPr>
                <w:rFonts w:eastAsia="Cambria"/>
                <w:b w:val="0"/>
              </w:rPr>
            </w:pPr>
            <w:r w:rsidRPr="00064383">
              <w:rPr>
                <w:b w:val="0"/>
              </w:rPr>
              <w:t xml:space="preserve">Facilitate the efficient review of </w:t>
            </w:r>
            <w:r w:rsidR="00C15DA3">
              <w:rPr>
                <w:b w:val="0"/>
              </w:rPr>
              <w:t xml:space="preserve">the Commercial Radio </w:t>
            </w:r>
            <w:r w:rsidRPr="00064383">
              <w:rPr>
                <w:b w:val="0"/>
              </w:rPr>
              <w:t xml:space="preserve">industry codes to ensure effective operation </w:t>
            </w:r>
            <w:r w:rsidRPr="00064383">
              <w:rPr>
                <w:b w:val="0"/>
              </w:rPr>
              <w:lastRenderedPageBreak/>
              <w:t>and that standards are representative of community values.</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lastRenderedPageBreak/>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r>
      <w:tr w:rsidR="00AF0D7E" w:rsidRPr="00AF0D7E" w:rsidTr="006D24C2">
        <w:trPr>
          <w:trHeight w:val="469"/>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AF0D7E">
            <w:pPr>
              <w:pStyle w:val="TableBody"/>
              <w:rPr>
                <w:rFonts w:eastAsia="Cambria"/>
                <w:b w:val="0"/>
              </w:rPr>
            </w:pPr>
            <w:r w:rsidRPr="00064383">
              <w:rPr>
                <w:b w:val="0"/>
              </w:rPr>
              <w:lastRenderedPageBreak/>
              <w:t>Support law enforcement, emergency services and national security organisations, including through meetings of Emergency Call Service Advisory Committee (</w:t>
            </w:r>
            <w:proofErr w:type="spellStart"/>
            <w:r w:rsidRPr="00064383">
              <w:rPr>
                <w:b w:val="0"/>
              </w:rPr>
              <w:t>ESAC</w:t>
            </w:r>
            <w:proofErr w:type="spellEnd"/>
            <w:r w:rsidRPr="00064383">
              <w:rPr>
                <w:b w:val="0"/>
              </w:rPr>
              <w:t>) and the Australia–New Zealand Emergency Communications Working Group (</w:t>
            </w:r>
            <w:proofErr w:type="spellStart"/>
            <w:r w:rsidRPr="00064383">
              <w:rPr>
                <w:b w:val="0"/>
              </w:rPr>
              <w:t>NECWG</w:t>
            </w:r>
            <w:proofErr w:type="spellEnd"/>
            <w:r w:rsidRPr="00064383">
              <w:rPr>
                <w:b w:val="0"/>
              </w:rPr>
              <w:t>-A/NZ).</w:t>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AF0D7E">
            <w:pPr>
              <w:pStyle w:val="TableBody"/>
              <w:rPr>
                <w:rFonts w:eastAsia="Cambria"/>
                <w:b w:val="0"/>
              </w:rPr>
            </w:pPr>
            <w:r w:rsidRPr="00064383">
              <w:rPr>
                <w:b w:val="0"/>
              </w:rPr>
              <w:t>Undertake effective stakeholder consultation on current and emerging telecommunications matters via the Consumer Consultative Forum and by liaising with relevant government agencies, and industry and consumer representative bodies.</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p>
        </w:tc>
      </w:tr>
      <w:tr w:rsidR="00AF0D7E" w:rsidRPr="00AF0D7E" w:rsidTr="006D24C2">
        <w:trPr>
          <w:trHeight w:val="524"/>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AF0D7E">
            <w:pPr>
              <w:pStyle w:val="TableBody"/>
              <w:rPr>
                <w:rFonts w:eastAsia="Cambria"/>
                <w:b w:val="0"/>
              </w:rPr>
            </w:pPr>
            <w:r w:rsidRPr="00064383">
              <w:rPr>
                <w:b w:val="0"/>
              </w:rPr>
              <w:t xml:space="preserve">Undertake research to enhance the ACMA’s evidence base; research projects focussed on telemarketing, cybersecurity and regional broadcasting local content completed by 30 June 2017. </w:t>
            </w: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c>
          <w:tcPr>
            <w:tcW w:w="1104"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c>
          <w:tcPr>
            <w:tcW w:w="1105" w:type="dxa"/>
          </w:tcPr>
          <w:p w:rsidR="00AF0D7E" w:rsidRPr="00AF0D7E" w:rsidRDefault="00AF0D7E" w:rsidP="00AF0D7E">
            <w:pPr>
              <w:pStyle w:val="TableBody"/>
              <w:cnfStyle w:val="000000000000" w:firstRow="0" w:lastRow="0" w:firstColumn="0" w:lastColumn="0" w:oddVBand="0" w:evenVBand="0" w:oddHBand="0" w:evenHBand="0" w:firstRowFirstColumn="0" w:firstRowLastColumn="0" w:lastRowFirstColumn="0" w:lastRowLastColumn="0"/>
            </w:pPr>
          </w:p>
        </w:tc>
      </w:tr>
      <w:tr w:rsidR="00AF0D7E" w:rsidRPr="00AF0D7E" w:rsidTr="006D24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AF0D7E" w:rsidRPr="00064383" w:rsidRDefault="00AF0D7E" w:rsidP="00806B62">
            <w:pPr>
              <w:pStyle w:val="TableBody"/>
              <w:rPr>
                <w:rFonts w:eastAsia="Cambria"/>
                <w:b w:val="0"/>
              </w:rPr>
            </w:pPr>
            <w:r w:rsidRPr="00064383">
              <w:rPr>
                <w:b w:val="0"/>
              </w:rPr>
              <w:t xml:space="preserve">Implement ACMA </w:t>
            </w:r>
            <w:r w:rsidR="00B2512D">
              <w:rPr>
                <w:b w:val="0"/>
              </w:rPr>
              <w:t>r</w:t>
            </w:r>
            <w:r w:rsidRPr="00064383">
              <w:rPr>
                <w:b w:val="0"/>
              </w:rPr>
              <w:t>eview recommendations in line with government time</w:t>
            </w:r>
            <w:r w:rsidR="00B2512D">
              <w:rPr>
                <w:b w:val="0"/>
              </w:rPr>
              <w:t xml:space="preserve"> </w:t>
            </w:r>
            <w:r w:rsidRPr="00064383">
              <w:rPr>
                <w:b w:val="0"/>
              </w:rPr>
              <w:t>frames</w:t>
            </w:r>
            <w:r w:rsidR="00B2512D">
              <w:rPr>
                <w:b w:val="0"/>
              </w:rPr>
              <w:t>.</w:t>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4"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c>
          <w:tcPr>
            <w:tcW w:w="1105" w:type="dxa"/>
            <w:shd w:val="clear" w:color="auto" w:fill="F2F2F2" w:themeFill="background1" w:themeFillShade="F2"/>
          </w:tcPr>
          <w:p w:rsidR="00AF0D7E" w:rsidRPr="00AF0D7E" w:rsidRDefault="00AF0D7E" w:rsidP="00AF0D7E">
            <w:pPr>
              <w:pStyle w:val="TableBody"/>
              <w:cnfStyle w:val="000000100000" w:firstRow="0" w:lastRow="0" w:firstColumn="0" w:lastColumn="0" w:oddVBand="0" w:evenVBand="0" w:oddHBand="1" w:evenHBand="0" w:firstRowFirstColumn="0" w:firstRowLastColumn="0" w:lastRowFirstColumn="0" w:lastRowLastColumn="0"/>
            </w:pPr>
            <w:r w:rsidRPr="00AF0D7E">
              <w:rPr>
                <w:sz w:val="44"/>
                <w:szCs w:val="44"/>
              </w:rPr>
              <w:sym w:font="Wingdings" w:char="F0FC"/>
            </w:r>
          </w:p>
        </w:tc>
      </w:tr>
      <w:tr w:rsidR="00AF0D7E" w:rsidRPr="00AF0D7E" w:rsidTr="006D24C2">
        <w:trPr>
          <w:trHeight w:val="493"/>
        </w:trPr>
        <w:tc>
          <w:tcPr>
            <w:cnfStyle w:val="001000000000" w:firstRow="0" w:lastRow="0" w:firstColumn="1" w:lastColumn="0" w:oddVBand="0" w:evenVBand="0" w:oddHBand="0" w:evenHBand="0" w:firstRowFirstColumn="0" w:firstRowLastColumn="0" w:lastRowFirstColumn="0" w:lastRowLastColumn="0"/>
            <w:tcW w:w="4832" w:type="dxa"/>
          </w:tcPr>
          <w:p w:rsidR="00AF0D7E" w:rsidRPr="00064383" w:rsidRDefault="00AF0D7E" w:rsidP="00AF0D7E">
            <w:pPr>
              <w:pStyle w:val="TableBody"/>
              <w:rPr>
                <w:b w:val="0"/>
              </w:rPr>
            </w:pPr>
            <w:r w:rsidRPr="00064383">
              <w:rPr>
                <w:rFonts w:eastAsia="Cambria"/>
                <w:b w:val="0"/>
              </w:rPr>
              <w:t xml:space="preserve">Continuous improvement and revision of </w:t>
            </w:r>
            <w:proofErr w:type="spellStart"/>
            <w:r w:rsidRPr="00064383">
              <w:rPr>
                <w:rFonts w:eastAsia="Cambria"/>
                <w:b w:val="0"/>
              </w:rPr>
              <w:t>KPIs</w:t>
            </w:r>
            <w:proofErr w:type="spellEnd"/>
            <w:r w:rsidRPr="00064383">
              <w:rPr>
                <w:rFonts w:eastAsia="Cambria"/>
                <w:b w:val="0"/>
              </w:rPr>
              <w:t>, reflecting more valuable and specific targets for future performance reporting.</w:t>
            </w:r>
          </w:p>
        </w:tc>
        <w:tc>
          <w:tcPr>
            <w:tcW w:w="1104" w:type="dxa"/>
          </w:tcPr>
          <w:p w:rsidR="00AF0D7E" w:rsidRPr="00ED168B" w:rsidRDefault="00AF0D7E" w:rsidP="00064383">
            <w:pPr>
              <w:pStyle w:val="TableBody"/>
              <w:cnfStyle w:val="000000000000" w:firstRow="0" w:lastRow="0" w:firstColumn="0" w:lastColumn="0" w:oddVBand="0" w:evenVBand="0" w:oddHBand="0" w:evenHBand="0" w:firstRowFirstColumn="0" w:firstRowLastColumn="0" w:lastRowFirstColumn="0" w:lastRowLastColumn="0"/>
              <w:rPr>
                <w:szCs w:val="20"/>
              </w:rPr>
            </w:pPr>
            <w:r w:rsidRPr="00AF0D7E">
              <w:rPr>
                <w:sz w:val="44"/>
                <w:szCs w:val="44"/>
              </w:rPr>
              <w:sym w:font="Wingdings" w:char="F0FC"/>
            </w:r>
          </w:p>
        </w:tc>
        <w:tc>
          <w:tcPr>
            <w:tcW w:w="1105" w:type="dxa"/>
          </w:tcPr>
          <w:p w:rsidR="00AF0D7E" w:rsidRPr="00ED168B" w:rsidRDefault="00AF0D7E" w:rsidP="00064383">
            <w:pPr>
              <w:pStyle w:val="TableBody"/>
              <w:cnfStyle w:val="000000000000" w:firstRow="0" w:lastRow="0" w:firstColumn="0" w:lastColumn="0" w:oddVBand="0" w:evenVBand="0" w:oddHBand="0" w:evenHBand="0" w:firstRowFirstColumn="0" w:firstRowLastColumn="0" w:lastRowFirstColumn="0" w:lastRowLastColumn="0"/>
              <w:rPr>
                <w:szCs w:val="20"/>
              </w:rPr>
            </w:pPr>
            <w:r w:rsidRPr="00AF0D7E">
              <w:rPr>
                <w:sz w:val="44"/>
                <w:szCs w:val="44"/>
              </w:rPr>
              <w:sym w:font="Wingdings" w:char="F0FC"/>
            </w:r>
          </w:p>
        </w:tc>
        <w:tc>
          <w:tcPr>
            <w:tcW w:w="1104" w:type="dxa"/>
          </w:tcPr>
          <w:p w:rsidR="00AF0D7E" w:rsidRPr="00ED168B" w:rsidRDefault="00AF0D7E" w:rsidP="00064383">
            <w:pPr>
              <w:pStyle w:val="TableBody"/>
              <w:cnfStyle w:val="000000000000" w:firstRow="0" w:lastRow="0" w:firstColumn="0" w:lastColumn="0" w:oddVBand="0" w:evenVBand="0" w:oddHBand="0" w:evenHBand="0" w:firstRowFirstColumn="0" w:firstRowLastColumn="0" w:lastRowFirstColumn="0" w:lastRowLastColumn="0"/>
              <w:rPr>
                <w:szCs w:val="20"/>
              </w:rPr>
            </w:pPr>
            <w:r w:rsidRPr="00AF0D7E">
              <w:rPr>
                <w:sz w:val="44"/>
                <w:szCs w:val="44"/>
              </w:rPr>
              <w:sym w:font="Wingdings" w:char="F0FC"/>
            </w:r>
          </w:p>
        </w:tc>
        <w:tc>
          <w:tcPr>
            <w:tcW w:w="1105" w:type="dxa"/>
          </w:tcPr>
          <w:p w:rsidR="00AF0D7E" w:rsidRPr="00AF0D7E" w:rsidRDefault="00AF0D7E" w:rsidP="00064383">
            <w:pPr>
              <w:pStyle w:val="TableBody"/>
              <w:cnfStyle w:val="000000000000" w:firstRow="0" w:lastRow="0" w:firstColumn="0" w:lastColumn="0" w:oddVBand="0" w:evenVBand="0" w:oddHBand="0" w:evenHBand="0" w:firstRowFirstColumn="0" w:firstRowLastColumn="0" w:lastRowFirstColumn="0" w:lastRowLastColumn="0"/>
            </w:pPr>
            <w:r w:rsidRPr="00AF0D7E">
              <w:rPr>
                <w:sz w:val="44"/>
                <w:szCs w:val="44"/>
              </w:rPr>
              <w:sym w:font="Wingdings" w:char="F0FC"/>
            </w:r>
          </w:p>
        </w:tc>
      </w:tr>
      <w:tr w:rsidR="00064383" w:rsidRPr="00AF0D7E" w:rsidTr="006D24C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064383" w:rsidRPr="00064383" w:rsidRDefault="00064383" w:rsidP="00064383">
            <w:pPr>
              <w:spacing w:after="0" w:line="240" w:lineRule="auto"/>
              <w:rPr>
                <w:b w:val="0"/>
              </w:rPr>
            </w:pPr>
            <w:proofErr w:type="spellStart"/>
            <w:r w:rsidRPr="00064383">
              <w:rPr>
                <w:rFonts w:eastAsia="Cambria"/>
                <w:b w:val="0"/>
              </w:rPr>
              <w:t>AISI</w:t>
            </w:r>
            <w:proofErr w:type="spellEnd"/>
            <w:r w:rsidRPr="00064383">
              <w:rPr>
                <w:rFonts w:eastAsia="Cambria"/>
                <w:b w:val="0"/>
              </w:rPr>
              <w:t xml:space="preserve"> member survey is completed in 2019. </w:t>
            </w:r>
          </w:p>
        </w:tc>
        <w:tc>
          <w:tcPr>
            <w:tcW w:w="1104" w:type="dxa"/>
            <w:shd w:val="clear" w:color="auto" w:fill="F2F2F2" w:themeFill="background1" w:themeFillShade="F2"/>
          </w:tcPr>
          <w:p w:rsidR="00064383" w:rsidRPr="006D24C2" w:rsidRDefault="00064383" w:rsidP="00064383">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1105" w:type="dxa"/>
            <w:shd w:val="clear" w:color="auto" w:fill="F2F2F2" w:themeFill="background1" w:themeFillShade="F2"/>
          </w:tcPr>
          <w:p w:rsidR="00064383" w:rsidRPr="006D24C2" w:rsidRDefault="00064383" w:rsidP="00064383">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1104" w:type="dxa"/>
            <w:shd w:val="clear" w:color="auto" w:fill="F2F2F2" w:themeFill="background1" w:themeFillShade="F2"/>
          </w:tcPr>
          <w:p w:rsidR="00064383" w:rsidRPr="006D24C2" w:rsidRDefault="00064383" w:rsidP="00C11363">
            <w:pPr>
              <w:spacing w:after="0"/>
              <w:cnfStyle w:val="000000100000" w:firstRow="0" w:lastRow="0" w:firstColumn="0" w:lastColumn="0" w:oddVBand="0" w:evenVBand="0" w:oddHBand="1" w:evenHBand="0" w:firstRowFirstColumn="0" w:firstRowLastColumn="0" w:lastRowFirstColumn="0" w:lastRowLastColumn="0"/>
              <w:rPr>
                <w:szCs w:val="20"/>
              </w:rPr>
            </w:pPr>
            <w:r w:rsidRPr="00AF0D7E">
              <w:rPr>
                <w:sz w:val="44"/>
                <w:szCs w:val="44"/>
              </w:rPr>
              <w:sym w:font="Wingdings" w:char="F0FC"/>
            </w:r>
          </w:p>
        </w:tc>
        <w:tc>
          <w:tcPr>
            <w:tcW w:w="1105" w:type="dxa"/>
            <w:shd w:val="clear" w:color="auto" w:fill="F2F2F2" w:themeFill="background1" w:themeFillShade="F2"/>
          </w:tcPr>
          <w:p w:rsidR="00064383" w:rsidRPr="00AF0D7E" w:rsidRDefault="00064383" w:rsidP="00064383">
            <w:pPr>
              <w:spacing w:after="0"/>
              <w:cnfStyle w:val="000000100000" w:firstRow="0" w:lastRow="0" w:firstColumn="0" w:lastColumn="0" w:oddVBand="0" w:evenVBand="0" w:oddHBand="1" w:evenHBand="0" w:firstRowFirstColumn="0" w:firstRowLastColumn="0" w:lastRowFirstColumn="0" w:lastRowLastColumn="0"/>
            </w:pPr>
          </w:p>
        </w:tc>
      </w:tr>
    </w:tbl>
    <w:p w:rsidR="00070FB9" w:rsidRDefault="00070FB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1266"/>
        <w:gridCol w:w="6405"/>
      </w:tblGrid>
      <w:tr w:rsidR="00070FB9" w:rsidTr="00AD6476">
        <w:tc>
          <w:tcPr>
            <w:tcW w:w="7671" w:type="dxa"/>
            <w:gridSpan w:val="2"/>
            <w:shd w:val="clear" w:color="auto" w:fill="6F2E8F"/>
          </w:tcPr>
          <w:p w:rsidR="00070FB9" w:rsidRPr="009B4234" w:rsidRDefault="0024793F" w:rsidP="00AD6476">
            <w:pPr>
              <w:spacing w:after="120"/>
              <w:rPr>
                <w:b/>
                <w:sz w:val="28"/>
                <w:szCs w:val="28"/>
              </w:rPr>
            </w:pPr>
            <w:r w:rsidRPr="005B51B8">
              <w:lastRenderedPageBreak/>
              <w:t xml:space="preserve"> </w:t>
            </w:r>
            <w:proofErr w:type="spellStart"/>
            <w:r w:rsidR="00070FB9" w:rsidRPr="009B4234">
              <w:rPr>
                <w:b/>
                <w:color w:val="FFFFFF" w:themeColor="background1"/>
                <w:sz w:val="28"/>
                <w:szCs w:val="28"/>
              </w:rPr>
              <w:t>KRA</w:t>
            </w:r>
            <w:proofErr w:type="spellEnd"/>
            <w:r w:rsidR="00070FB9" w:rsidRPr="009B4234">
              <w:rPr>
                <w:b/>
                <w:color w:val="FFFFFF" w:themeColor="background1"/>
                <w:sz w:val="28"/>
                <w:szCs w:val="28"/>
              </w:rPr>
              <w:t xml:space="preserve"> </w:t>
            </w:r>
            <w:r w:rsidR="00070FB9">
              <w:rPr>
                <w:b/>
                <w:color w:val="FFFFFF" w:themeColor="background1"/>
                <w:sz w:val="28"/>
                <w:szCs w:val="28"/>
              </w:rPr>
              <w:t>3</w:t>
            </w:r>
          </w:p>
        </w:tc>
      </w:tr>
      <w:tr w:rsidR="00070FB9" w:rsidTr="00070FB9">
        <w:trPr>
          <w:trHeight w:val="1144"/>
        </w:trPr>
        <w:tc>
          <w:tcPr>
            <w:tcW w:w="1266" w:type="dxa"/>
          </w:tcPr>
          <w:p w:rsidR="00070FB9" w:rsidRDefault="00070FB9" w:rsidP="00AD6476">
            <w:pPr>
              <w:spacing w:after="0"/>
            </w:pPr>
            <w:r>
              <w:rPr>
                <w:noProof/>
              </w:rPr>
              <w:drawing>
                <wp:inline distT="0" distB="0" distL="0" distR="0" wp14:anchorId="63F72B85" wp14:editId="1C4D7C5D">
                  <wp:extent cx="667092" cy="745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ficiency-Icon-grey.png"/>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676697" cy="756609"/>
                          </a:xfrm>
                          <a:prstGeom prst="rect">
                            <a:avLst/>
                          </a:prstGeom>
                          <a:ln>
                            <a:noFill/>
                          </a:ln>
                          <a:extLst>
                            <a:ext uri="{53640926-AAD7-44D8-BBD7-CCE9431645EC}">
                              <a14:shadowObscured xmlns:a14="http://schemas.microsoft.com/office/drawing/2010/main"/>
                            </a:ext>
                          </a:extLst>
                        </pic:spPr>
                      </pic:pic>
                    </a:graphicData>
                  </a:graphic>
                </wp:inline>
              </w:drawing>
            </w:r>
          </w:p>
        </w:tc>
        <w:tc>
          <w:tcPr>
            <w:tcW w:w="6405" w:type="dxa"/>
          </w:tcPr>
          <w:p w:rsidR="00070FB9" w:rsidRDefault="00070FB9" w:rsidP="004F0E0C">
            <w:pPr>
              <w:pStyle w:val="Heading2"/>
              <w:pageBreakBefore/>
              <w:spacing w:before="0" w:after="0"/>
              <w:outlineLvl w:val="1"/>
            </w:pPr>
            <w:bookmarkStart w:id="46" w:name="_Toc457898850"/>
            <w:r>
              <w:t>T</w:t>
            </w:r>
            <w:r w:rsidRPr="00C57C5C">
              <w:t xml:space="preserve">hat </w:t>
            </w:r>
            <w:r w:rsidRPr="005B51B8">
              <w:t>the ACMA is a resilient, agile, efficient and knowledge-based organisation; and that re</w:t>
            </w:r>
            <w:r w:rsidR="004F0E0C">
              <w:t xml:space="preserve">gulatory settings are efficient, </w:t>
            </w:r>
            <w:r w:rsidRPr="005B51B8">
              <w:t>effective</w:t>
            </w:r>
            <w:r w:rsidR="004F0E0C">
              <w:t xml:space="preserve"> and evidence-informed</w:t>
            </w:r>
            <w:bookmarkEnd w:id="46"/>
          </w:p>
        </w:tc>
      </w:tr>
    </w:tbl>
    <w:p w:rsidR="0024793F" w:rsidRDefault="0024793F" w:rsidP="00070FB9">
      <w:pPr>
        <w:spacing w:before="240"/>
      </w:pPr>
      <w:r>
        <w:t xml:space="preserve">The ACMA aims to deploy </w:t>
      </w:r>
      <w:r w:rsidRPr="00723DC3">
        <w:t>people and resources to meet current and emerging busines</w:t>
      </w:r>
      <w:r>
        <w:t>s and consumer</w:t>
      </w:r>
      <w:r w:rsidRPr="00723DC3">
        <w:t xml:space="preserve"> needs</w:t>
      </w:r>
      <w:r>
        <w:t>;</w:t>
      </w:r>
      <w:r w:rsidRPr="00723DC3">
        <w:t xml:space="preserve"> </w:t>
      </w:r>
      <w:r>
        <w:t xml:space="preserve">and </w:t>
      </w:r>
      <w:r w:rsidRPr="00723DC3">
        <w:t xml:space="preserve">transform business processes, service delivery and stakeholder engagement through an increased use of knowledge technology and social media engagement. </w:t>
      </w:r>
      <w:r>
        <w:t>The ACMA seeks</w:t>
      </w:r>
      <w:r w:rsidRPr="00723DC3">
        <w:t xml:space="preserve"> opportunities for continuous improvement by engaging with stakeholders on the progress and evaluation of regulatory initiatives to reduce regulatory costs over time.</w:t>
      </w:r>
    </w:p>
    <w:p w:rsidR="0024793F" w:rsidRDefault="0024793F" w:rsidP="0024793F">
      <w:r>
        <w:t>The ACMA’s activities continue to recognise the evolving character of the communications and media environment, and that the way citizens and businesses engage with government agencies is changing. T</w:t>
      </w:r>
      <w:r w:rsidRPr="00286599">
        <w:t xml:space="preserve">he ACMA adopts a range of strategies and tools to </w:t>
      </w:r>
      <w:r>
        <w:t xml:space="preserve">deliver services and communicate with citizens and with regulated entities. </w:t>
      </w:r>
    </w:p>
    <w:p w:rsidR="0024793F" w:rsidRPr="00D217AF" w:rsidRDefault="0024793F" w:rsidP="00085A9D">
      <w:pPr>
        <w:pStyle w:val="Heading3"/>
      </w:pPr>
      <w:bookmarkStart w:id="47" w:name="_Toc453828797"/>
      <w:bookmarkStart w:id="48" w:name="_Toc457898851"/>
      <w:r w:rsidRPr="00D217AF">
        <w:t>Priorities</w:t>
      </w:r>
      <w:bookmarkEnd w:id="47"/>
      <w:bookmarkEnd w:id="48"/>
    </w:p>
    <w:p w:rsidR="0024793F" w:rsidRDefault="0024793F" w:rsidP="0024793F">
      <w:pPr>
        <w:keepNext/>
        <w:keepLines/>
        <w:spacing w:after="80"/>
      </w:pPr>
      <w:r>
        <w:t xml:space="preserve">The ACMA’s priorities for achieving </w:t>
      </w:r>
      <w:proofErr w:type="spellStart"/>
      <w:r>
        <w:t>KRA</w:t>
      </w:r>
      <w:proofErr w:type="spellEnd"/>
      <w:r>
        <w:t xml:space="preserve"> 3 are:</w:t>
      </w:r>
    </w:p>
    <w:p w:rsidR="0024793F" w:rsidRPr="0024793F" w:rsidRDefault="002305E3" w:rsidP="0024793F">
      <w:pPr>
        <w:pStyle w:val="ListNumber"/>
        <w:numPr>
          <w:ilvl w:val="0"/>
          <w:numId w:val="18"/>
        </w:numPr>
      </w:pPr>
      <w:r>
        <w:t>Enhancing</w:t>
      </w:r>
      <w:r w:rsidR="0024793F" w:rsidRPr="0024793F">
        <w:t xml:space="preserve"> organisational capability through development of efficient and effective corporate planning, performance reporting, and risk management and governance arrangements. </w:t>
      </w:r>
    </w:p>
    <w:p w:rsidR="0024793F" w:rsidRPr="0024793F" w:rsidRDefault="00CB7221" w:rsidP="0024793F">
      <w:pPr>
        <w:pStyle w:val="ListNumber"/>
        <w:numPr>
          <w:ilvl w:val="0"/>
          <w:numId w:val="18"/>
        </w:numPr>
      </w:pPr>
      <w:r>
        <w:t>Contributing</w:t>
      </w:r>
      <w:r w:rsidR="0024793F" w:rsidRPr="0024793F">
        <w:t xml:space="preserve"> to </w:t>
      </w:r>
      <w:r w:rsidR="00C15DA3">
        <w:t xml:space="preserve">maintaining </w:t>
      </w:r>
      <w:r w:rsidR="0024793F" w:rsidRPr="0024793F">
        <w:t>an agile and knowledge-based organisation supporting achievement of ACMA outcomes through effective workforce planning and people management.</w:t>
      </w:r>
    </w:p>
    <w:p w:rsidR="0024793F" w:rsidRPr="0024793F" w:rsidRDefault="00CB7221" w:rsidP="0024793F">
      <w:pPr>
        <w:pStyle w:val="ListNumber"/>
        <w:numPr>
          <w:ilvl w:val="0"/>
          <w:numId w:val="18"/>
        </w:numPr>
      </w:pPr>
      <w:r>
        <w:t>Enhancing</w:t>
      </w:r>
      <w:r w:rsidR="0024793F" w:rsidRPr="0024793F">
        <w:t xml:space="preserve"> ICT capability, and design</w:t>
      </w:r>
      <w:r w:rsidR="00C15DA3">
        <w:t>ing</w:t>
      </w:r>
      <w:r w:rsidR="0024793F" w:rsidRPr="0024793F">
        <w:t xml:space="preserve"> efficient and effective capital investment programs.</w:t>
      </w:r>
    </w:p>
    <w:p w:rsidR="0024793F" w:rsidRPr="0024793F" w:rsidRDefault="0024793F" w:rsidP="0024793F">
      <w:pPr>
        <w:pStyle w:val="ListNumber"/>
        <w:numPr>
          <w:ilvl w:val="0"/>
          <w:numId w:val="18"/>
        </w:numPr>
      </w:pPr>
      <w:r w:rsidRPr="0024793F">
        <w:t>Deliver</w:t>
      </w:r>
      <w:r w:rsidR="00CB7221">
        <w:t>ing</w:t>
      </w:r>
      <w:r w:rsidRPr="0024793F">
        <w:t xml:space="preserve"> productive and effective engagement with external ACMA stakeholders. </w:t>
      </w:r>
    </w:p>
    <w:p w:rsidR="0024793F" w:rsidRPr="0024793F" w:rsidRDefault="0024793F" w:rsidP="006D24C2">
      <w:pPr>
        <w:pStyle w:val="ListNumber"/>
        <w:numPr>
          <w:ilvl w:val="0"/>
          <w:numId w:val="18"/>
        </w:numPr>
        <w:spacing w:after="240"/>
      </w:pPr>
      <w:r w:rsidRPr="0024793F">
        <w:t xml:space="preserve">Enhance the effectiveness and efficiency of regulatory design and administration settings through continuous improvement and research to ensure evidence-informed </w:t>
      </w:r>
      <w:r w:rsidR="00B2512D" w:rsidRPr="0024793F">
        <w:t>decision-making</w:t>
      </w:r>
      <w:r w:rsidRPr="0024793F">
        <w:t>.</w:t>
      </w:r>
    </w:p>
    <w:p w:rsidR="0024793F" w:rsidRDefault="0024793F" w:rsidP="00085A9D">
      <w:pPr>
        <w:pStyle w:val="Heading3"/>
      </w:pPr>
      <w:bookmarkStart w:id="49" w:name="_Toc453828798"/>
      <w:bookmarkStart w:id="50" w:name="_Toc457898852"/>
      <w:r>
        <w:t>Key activities contributing to annual work plan</w:t>
      </w:r>
      <w:bookmarkEnd w:id="49"/>
      <w:bookmarkEnd w:id="50"/>
      <w:r>
        <w:t xml:space="preserve"> </w:t>
      </w:r>
    </w:p>
    <w:p w:rsidR="00BA35F9" w:rsidRDefault="0024793F" w:rsidP="003E3B85">
      <w:r>
        <w:t xml:space="preserve">Key activities that the ACMA will conduct over the next four years, which will support it in delivering </w:t>
      </w:r>
      <w:proofErr w:type="spellStart"/>
      <w:r>
        <w:t>KRA</w:t>
      </w:r>
      <w:proofErr w:type="spellEnd"/>
      <w:r>
        <w:t xml:space="preserve"> 3 outcomes, include:</w:t>
      </w:r>
      <w:r w:rsidR="00BA35F9">
        <w:br w:type="page"/>
      </w:r>
    </w:p>
    <w:p w:rsidR="00A379E1" w:rsidRDefault="006734C0" w:rsidP="006D24C2">
      <w:pPr>
        <w:pStyle w:val="ACMATableHeader"/>
      </w:pPr>
      <w:r w:rsidRPr="00850AE8">
        <w:lastRenderedPageBreak/>
        <w:t>Key activities to deliver</w:t>
      </w:r>
      <w:r>
        <w:t xml:space="preserve"> </w:t>
      </w:r>
      <w:proofErr w:type="spellStart"/>
      <w:r>
        <w:t>KRA</w:t>
      </w:r>
      <w:proofErr w:type="spellEnd"/>
      <w:r>
        <w:t xml:space="preserve"> 3</w:t>
      </w:r>
      <w:r w:rsidRPr="00850AE8">
        <w:t xml:space="preserve"> outcomes—</w:t>
      </w:r>
      <w:r>
        <w:t>2016–17</w:t>
      </w:r>
    </w:p>
    <w:tbl>
      <w:tblPr>
        <w:tblStyle w:val="TableGrid"/>
        <w:tblW w:w="0" w:type="auto"/>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5399"/>
        <w:gridCol w:w="2262"/>
      </w:tblGrid>
      <w:tr w:rsidR="0039410D" w:rsidTr="00AD6476">
        <w:trPr>
          <w:tblHeader/>
        </w:trPr>
        <w:tc>
          <w:tcPr>
            <w:tcW w:w="5399" w:type="dxa"/>
            <w:shd w:val="clear" w:color="auto" w:fill="6F2E8F"/>
          </w:tcPr>
          <w:p w:rsidR="0039410D" w:rsidRPr="006D24C2" w:rsidRDefault="0039410D" w:rsidP="006D24C2">
            <w:pPr>
              <w:pStyle w:val="TableHeading"/>
              <w:rPr>
                <w:color w:val="FFFFFF" w:themeColor="background1"/>
              </w:rPr>
            </w:pPr>
            <w:r w:rsidRPr="006D24C2">
              <w:rPr>
                <w:color w:val="FFFFFF" w:themeColor="background1"/>
              </w:rPr>
              <w:t>Project description</w:t>
            </w:r>
          </w:p>
        </w:tc>
        <w:tc>
          <w:tcPr>
            <w:tcW w:w="2262" w:type="dxa"/>
            <w:shd w:val="clear" w:color="auto" w:fill="6F2E8F"/>
          </w:tcPr>
          <w:p w:rsidR="0039410D" w:rsidRPr="006D24C2" w:rsidRDefault="0039410D" w:rsidP="006D24C2">
            <w:pPr>
              <w:pStyle w:val="TableHeading"/>
              <w:rPr>
                <w:color w:val="FFFFFF" w:themeColor="background1"/>
              </w:rPr>
            </w:pPr>
            <w:r w:rsidRPr="006D24C2">
              <w:rPr>
                <w:color w:val="FFFFFF" w:themeColor="background1"/>
              </w:rPr>
              <w:t>Proposed timings</w:t>
            </w:r>
          </w:p>
        </w:tc>
      </w:tr>
      <w:tr w:rsidR="0039410D" w:rsidTr="00ED168B">
        <w:tc>
          <w:tcPr>
            <w:tcW w:w="5399" w:type="dxa"/>
            <w:shd w:val="clear" w:color="auto" w:fill="F2F2F2" w:themeFill="background1" w:themeFillShade="F2"/>
          </w:tcPr>
          <w:p w:rsidR="0039410D" w:rsidRPr="00AE03F5" w:rsidRDefault="004F0E0C" w:rsidP="004F0E0C">
            <w:pPr>
              <w:pStyle w:val="TableBody"/>
            </w:pPr>
            <w:r>
              <w:rPr>
                <w:b/>
              </w:rPr>
              <w:t>Update</w:t>
            </w:r>
            <w:r w:rsidR="0039410D" w:rsidRPr="005B51B8">
              <w:rPr>
                <w:b/>
              </w:rPr>
              <w:t xml:space="preserve"> </w:t>
            </w:r>
            <w:proofErr w:type="spellStart"/>
            <w:r w:rsidR="0039410D" w:rsidRPr="005B51B8">
              <w:rPr>
                <w:b/>
              </w:rPr>
              <w:t>researchacma</w:t>
            </w:r>
            <w:proofErr w:type="spellEnd"/>
            <w:r w:rsidR="0039410D" w:rsidRPr="005B51B8">
              <w:rPr>
                <w:b/>
              </w:rPr>
              <w:t xml:space="preserve"> program </w:t>
            </w:r>
            <w:r w:rsidR="0039410D">
              <w:t xml:space="preserve"> </w:t>
            </w:r>
          </w:p>
        </w:tc>
        <w:tc>
          <w:tcPr>
            <w:tcW w:w="2262" w:type="dxa"/>
            <w:shd w:val="clear" w:color="auto" w:fill="F2F2F2" w:themeFill="background1" w:themeFillShade="F2"/>
          </w:tcPr>
          <w:p w:rsidR="0039410D" w:rsidRPr="0056596F" w:rsidRDefault="0039410D" w:rsidP="0039410D">
            <w:pPr>
              <w:pStyle w:val="TableBody"/>
              <w:rPr>
                <w:sz w:val="18"/>
                <w:szCs w:val="18"/>
              </w:rPr>
            </w:pPr>
            <w:r w:rsidRPr="005163C6">
              <w:t>August 2016</w:t>
            </w:r>
          </w:p>
        </w:tc>
      </w:tr>
      <w:tr w:rsidR="00FA1CC9" w:rsidTr="00ED168B">
        <w:tc>
          <w:tcPr>
            <w:tcW w:w="7661" w:type="dxa"/>
            <w:gridSpan w:val="2"/>
            <w:shd w:val="clear" w:color="auto" w:fill="F2F2F2" w:themeFill="background1" w:themeFillShade="F2"/>
          </w:tcPr>
          <w:p w:rsidR="00FA1CC9" w:rsidRPr="005B51B8" w:rsidRDefault="00FA1CC9" w:rsidP="00A379E1">
            <w:pPr>
              <w:pStyle w:val="TableBody"/>
              <w:rPr>
                <w:szCs w:val="20"/>
              </w:rPr>
            </w:pPr>
            <w:r w:rsidRPr="005B51B8">
              <w:rPr>
                <w:b/>
              </w:rPr>
              <w:t>Consultation on:</w:t>
            </w:r>
          </w:p>
        </w:tc>
      </w:tr>
      <w:tr w:rsidR="00FA1CC9" w:rsidTr="00ED168B">
        <w:tc>
          <w:tcPr>
            <w:tcW w:w="5399" w:type="dxa"/>
          </w:tcPr>
          <w:p w:rsidR="00FA1CC9" w:rsidRPr="00085A9D" w:rsidRDefault="00FA1CC9" w:rsidP="00806B62">
            <w:pPr>
              <w:pStyle w:val="TableBody"/>
              <w:ind w:left="170"/>
            </w:pPr>
            <w:r w:rsidRPr="00014AAD">
              <w:t xml:space="preserve">Regulator Performance Framework—2015–16 </w:t>
            </w:r>
            <w:r w:rsidR="00806B62">
              <w:t>assessment report</w:t>
            </w:r>
          </w:p>
        </w:tc>
        <w:tc>
          <w:tcPr>
            <w:tcW w:w="2262" w:type="dxa"/>
          </w:tcPr>
          <w:p w:rsidR="00FA1CC9" w:rsidRDefault="00FA1CC9" w:rsidP="0039410D">
            <w:pPr>
              <w:pStyle w:val="TableBody"/>
              <w:rPr>
                <w:szCs w:val="20"/>
              </w:rPr>
            </w:pPr>
            <w:r>
              <w:rPr>
                <w:szCs w:val="20"/>
              </w:rPr>
              <w:t>July–September 2016</w:t>
            </w:r>
          </w:p>
        </w:tc>
      </w:tr>
      <w:tr w:rsidR="00FA1CC9" w:rsidTr="00ED168B">
        <w:tc>
          <w:tcPr>
            <w:tcW w:w="5399" w:type="dxa"/>
          </w:tcPr>
          <w:p w:rsidR="00FA1CC9" w:rsidRPr="00085A9D" w:rsidRDefault="00806B62" w:rsidP="00806B62">
            <w:pPr>
              <w:pStyle w:val="TableBody"/>
              <w:ind w:left="170"/>
            </w:pPr>
            <w:r>
              <w:t>Develop</w:t>
            </w:r>
            <w:r w:rsidR="00C15DA3">
              <w:t>ing</w:t>
            </w:r>
            <w:r>
              <w:t xml:space="preserve"> Australian positions on key issues for the </w:t>
            </w:r>
            <w:r w:rsidR="00FA1CC9" w:rsidRPr="005B51B8">
              <w:t xml:space="preserve">2016 </w:t>
            </w:r>
            <w:proofErr w:type="spellStart"/>
            <w:r w:rsidR="00FA1CC9" w:rsidRPr="005B51B8">
              <w:t>ITU</w:t>
            </w:r>
            <w:proofErr w:type="spellEnd"/>
            <w:r w:rsidR="00FA1CC9" w:rsidRPr="005B51B8">
              <w:t xml:space="preserve"> World Telecommunication Standardi</w:t>
            </w:r>
            <w:r w:rsidR="00FA1CC9">
              <w:t>z</w:t>
            </w:r>
            <w:r w:rsidR="00FA1CC9" w:rsidRPr="005B51B8">
              <w:t>ation Assembly (</w:t>
            </w:r>
            <w:proofErr w:type="spellStart"/>
            <w:r w:rsidR="00FA1CC9" w:rsidRPr="005B51B8">
              <w:t>WTSA</w:t>
            </w:r>
            <w:proofErr w:type="spellEnd"/>
            <w:r w:rsidR="00FA1CC9" w:rsidRPr="005B51B8">
              <w:t>)</w:t>
            </w:r>
          </w:p>
        </w:tc>
        <w:tc>
          <w:tcPr>
            <w:tcW w:w="2262" w:type="dxa"/>
          </w:tcPr>
          <w:p w:rsidR="00FA1CC9" w:rsidRDefault="00FA1CC9" w:rsidP="0039410D">
            <w:pPr>
              <w:pStyle w:val="TableBody"/>
              <w:rPr>
                <w:szCs w:val="20"/>
              </w:rPr>
            </w:pPr>
            <w:r>
              <w:rPr>
                <w:szCs w:val="20"/>
              </w:rPr>
              <w:t>July–September 2016</w:t>
            </w:r>
          </w:p>
        </w:tc>
      </w:tr>
      <w:tr w:rsidR="00FA1CC9" w:rsidTr="00ED168B">
        <w:tc>
          <w:tcPr>
            <w:tcW w:w="5399" w:type="dxa"/>
          </w:tcPr>
          <w:p w:rsidR="00FA1CC9" w:rsidRPr="00085A9D" w:rsidRDefault="00FA1CC9" w:rsidP="00D21747">
            <w:pPr>
              <w:pStyle w:val="TableBody"/>
              <w:ind w:left="170"/>
            </w:pPr>
            <w:r>
              <w:t xml:space="preserve">Fees and charges </w:t>
            </w:r>
            <w:r w:rsidR="00DF2ABA">
              <w:t xml:space="preserve">review </w:t>
            </w:r>
            <w:r>
              <w:t>for cost recovery activities</w:t>
            </w:r>
          </w:p>
        </w:tc>
        <w:tc>
          <w:tcPr>
            <w:tcW w:w="2262" w:type="dxa"/>
          </w:tcPr>
          <w:p w:rsidR="00FA1CC9" w:rsidRDefault="00FA1CC9" w:rsidP="0039410D">
            <w:pPr>
              <w:pStyle w:val="TableBody"/>
              <w:rPr>
                <w:szCs w:val="20"/>
              </w:rPr>
            </w:pPr>
            <w:r>
              <w:rPr>
                <w:szCs w:val="20"/>
              </w:rPr>
              <w:t>September–December 2016</w:t>
            </w:r>
          </w:p>
        </w:tc>
      </w:tr>
      <w:tr w:rsidR="003A7C9F" w:rsidTr="00ED168B">
        <w:tc>
          <w:tcPr>
            <w:tcW w:w="7661" w:type="dxa"/>
            <w:gridSpan w:val="2"/>
            <w:shd w:val="clear" w:color="auto" w:fill="F2F2F2" w:themeFill="background1" w:themeFillShade="F2"/>
          </w:tcPr>
          <w:p w:rsidR="003A7C9F" w:rsidRDefault="003A7C9F" w:rsidP="0039410D">
            <w:pPr>
              <w:pStyle w:val="TableBody"/>
              <w:rPr>
                <w:szCs w:val="20"/>
              </w:rPr>
            </w:pPr>
            <w:r w:rsidRPr="00637DBB">
              <w:rPr>
                <w:b/>
              </w:rPr>
              <w:t xml:space="preserve">Workforce </w:t>
            </w:r>
            <w:r>
              <w:rPr>
                <w:b/>
              </w:rPr>
              <w:t>p</w:t>
            </w:r>
            <w:r w:rsidRPr="00637DBB">
              <w:rPr>
                <w:b/>
              </w:rPr>
              <w:t>lanning and capability activities:</w:t>
            </w:r>
          </w:p>
        </w:tc>
      </w:tr>
      <w:tr w:rsidR="003A7C9F" w:rsidTr="00ED168B">
        <w:tc>
          <w:tcPr>
            <w:tcW w:w="5399" w:type="dxa"/>
          </w:tcPr>
          <w:p w:rsidR="003A7C9F" w:rsidRPr="006D24C2" w:rsidRDefault="003A7C9F" w:rsidP="00806B62">
            <w:pPr>
              <w:pStyle w:val="TableBody"/>
              <w:ind w:left="170"/>
            </w:pPr>
            <w:r w:rsidRPr="00637DBB">
              <w:t>Develop estimates of likely affordable staffing numbers</w:t>
            </w:r>
          </w:p>
        </w:tc>
        <w:tc>
          <w:tcPr>
            <w:tcW w:w="2262" w:type="dxa"/>
            <w:vMerge w:val="restart"/>
            <w:vAlign w:val="center"/>
          </w:tcPr>
          <w:p w:rsidR="003A7C9F" w:rsidRDefault="003A7C9F" w:rsidP="00007989">
            <w:pPr>
              <w:pStyle w:val="TableBody"/>
              <w:rPr>
                <w:szCs w:val="20"/>
              </w:rPr>
            </w:pPr>
            <w:r>
              <w:rPr>
                <w:szCs w:val="20"/>
              </w:rPr>
              <w:t>October–December 2016</w:t>
            </w:r>
          </w:p>
        </w:tc>
      </w:tr>
      <w:tr w:rsidR="003A7C9F" w:rsidTr="00ED168B">
        <w:tc>
          <w:tcPr>
            <w:tcW w:w="5399" w:type="dxa"/>
          </w:tcPr>
          <w:p w:rsidR="003A7C9F" w:rsidRPr="006D24C2" w:rsidRDefault="00806B62" w:rsidP="00DF2ABA">
            <w:pPr>
              <w:pStyle w:val="TableBody"/>
              <w:ind w:left="170"/>
            </w:pPr>
            <w:r>
              <w:t>Implement</w:t>
            </w:r>
            <w:r w:rsidR="003A7C9F" w:rsidRPr="00637DBB">
              <w:t xml:space="preserve"> 2015</w:t>
            </w:r>
            <w:r w:rsidR="003A7C9F">
              <w:t>–</w:t>
            </w:r>
            <w:r w:rsidR="003A7C9F" w:rsidRPr="00637DBB">
              <w:t>2018 ACMA Learning and Development Strategy</w:t>
            </w:r>
          </w:p>
        </w:tc>
        <w:tc>
          <w:tcPr>
            <w:tcW w:w="2262" w:type="dxa"/>
            <w:vMerge/>
          </w:tcPr>
          <w:p w:rsidR="003A7C9F" w:rsidRDefault="003A7C9F" w:rsidP="0039410D">
            <w:pPr>
              <w:pStyle w:val="TableBody"/>
              <w:rPr>
                <w:szCs w:val="20"/>
              </w:rPr>
            </w:pPr>
          </w:p>
        </w:tc>
      </w:tr>
      <w:tr w:rsidR="003A7C9F" w:rsidTr="00ED168B">
        <w:tc>
          <w:tcPr>
            <w:tcW w:w="5399" w:type="dxa"/>
          </w:tcPr>
          <w:p w:rsidR="003A7C9F" w:rsidRDefault="003A7C9F" w:rsidP="006D24C2">
            <w:pPr>
              <w:pStyle w:val="TableBody"/>
              <w:ind w:left="170"/>
            </w:pPr>
            <w:r w:rsidRPr="00686ADE">
              <w:t xml:space="preserve">Develop and implement a Talent Management program to support the ACMA’s </w:t>
            </w:r>
            <w:r w:rsidR="004270DE">
              <w:t>Workforce Plan</w:t>
            </w:r>
          </w:p>
        </w:tc>
        <w:tc>
          <w:tcPr>
            <w:tcW w:w="2262" w:type="dxa"/>
            <w:vMerge/>
          </w:tcPr>
          <w:p w:rsidR="003A7C9F" w:rsidRPr="0056596F" w:rsidRDefault="003A7C9F" w:rsidP="0039410D">
            <w:pPr>
              <w:pStyle w:val="TableBody"/>
              <w:rPr>
                <w:sz w:val="18"/>
                <w:szCs w:val="18"/>
              </w:rPr>
            </w:pPr>
          </w:p>
        </w:tc>
      </w:tr>
      <w:tr w:rsidR="0039410D" w:rsidRPr="00795C76" w:rsidTr="00ED168B">
        <w:tc>
          <w:tcPr>
            <w:tcW w:w="5399" w:type="dxa"/>
            <w:shd w:val="clear" w:color="auto" w:fill="F2F2F2" w:themeFill="background1" w:themeFillShade="F2"/>
          </w:tcPr>
          <w:p w:rsidR="0039410D" w:rsidRPr="00A637E3" w:rsidRDefault="0039410D" w:rsidP="0039410D">
            <w:pPr>
              <w:pStyle w:val="TableBody"/>
              <w:rPr>
                <w:b/>
              </w:rPr>
            </w:pPr>
            <w:r w:rsidRPr="00A637E3">
              <w:rPr>
                <w:b/>
              </w:rPr>
              <w:t>Strategic review of the ACMA’s property management plan, following the workforce planning review of staffing numbers</w:t>
            </w:r>
            <w:r w:rsidR="00FF7980">
              <w:rPr>
                <w:b/>
              </w:rPr>
              <w:t>.</w:t>
            </w:r>
          </w:p>
        </w:tc>
        <w:tc>
          <w:tcPr>
            <w:tcW w:w="2262" w:type="dxa"/>
            <w:shd w:val="clear" w:color="auto" w:fill="F2F2F2" w:themeFill="background1" w:themeFillShade="F2"/>
          </w:tcPr>
          <w:p w:rsidR="0039410D" w:rsidRPr="00795C76" w:rsidRDefault="0039410D" w:rsidP="0039410D">
            <w:pPr>
              <w:pStyle w:val="TableBody"/>
              <w:rPr>
                <w:szCs w:val="20"/>
              </w:rPr>
            </w:pPr>
            <w:r>
              <w:rPr>
                <w:szCs w:val="20"/>
              </w:rPr>
              <w:t>January-June 2017</w:t>
            </w:r>
          </w:p>
        </w:tc>
      </w:tr>
      <w:tr w:rsidR="003A7C9F" w:rsidRPr="00795C76" w:rsidTr="00ED168B">
        <w:tc>
          <w:tcPr>
            <w:tcW w:w="7661" w:type="dxa"/>
            <w:gridSpan w:val="2"/>
            <w:shd w:val="clear" w:color="auto" w:fill="F2F2F2" w:themeFill="background1" w:themeFillShade="F2"/>
          </w:tcPr>
          <w:p w:rsidR="003A7C9F" w:rsidRPr="00795C76" w:rsidRDefault="003A7C9F" w:rsidP="0039410D">
            <w:pPr>
              <w:pStyle w:val="TableBody"/>
              <w:rPr>
                <w:szCs w:val="20"/>
              </w:rPr>
            </w:pPr>
            <w:r w:rsidRPr="00795C76">
              <w:rPr>
                <w:b/>
              </w:rPr>
              <w:t>Cloud migration strategy implementation commences:</w:t>
            </w:r>
          </w:p>
        </w:tc>
      </w:tr>
      <w:tr w:rsidR="003A7C9F" w:rsidRPr="00795C76" w:rsidTr="00085A9D">
        <w:tc>
          <w:tcPr>
            <w:tcW w:w="5399" w:type="dxa"/>
          </w:tcPr>
          <w:p w:rsidR="003A7C9F" w:rsidRPr="00085A9D" w:rsidRDefault="003A7C9F" w:rsidP="00806B62">
            <w:pPr>
              <w:pStyle w:val="TableBody"/>
              <w:ind w:left="170"/>
            </w:pPr>
            <w:r w:rsidRPr="00795C76">
              <w:t>Complet</w:t>
            </w:r>
            <w:r w:rsidR="00806B62">
              <w:t xml:space="preserve">e </w:t>
            </w:r>
            <w:r w:rsidRPr="00795C76">
              <w:t>system consolidation work—including upgrading core systems and retiring legacy applications as required by 30 June 2017</w:t>
            </w:r>
          </w:p>
        </w:tc>
        <w:tc>
          <w:tcPr>
            <w:tcW w:w="2262" w:type="dxa"/>
            <w:vMerge w:val="restart"/>
            <w:vAlign w:val="center"/>
          </w:tcPr>
          <w:p w:rsidR="003A7C9F" w:rsidRPr="00795C76" w:rsidRDefault="003A7C9F" w:rsidP="00007989">
            <w:pPr>
              <w:pStyle w:val="TableBody"/>
              <w:rPr>
                <w:szCs w:val="20"/>
              </w:rPr>
            </w:pPr>
            <w:r w:rsidRPr="00795C76">
              <w:rPr>
                <w:szCs w:val="20"/>
              </w:rPr>
              <w:t>April–June 2017</w:t>
            </w:r>
          </w:p>
        </w:tc>
      </w:tr>
      <w:tr w:rsidR="003A7C9F" w:rsidRPr="00795C76" w:rsidTr="00ED168B">
        <w:tc>
          <w:tcPr>
            <w:tcW w:w="5399" w:type="dxa"/>
          </w:tcPr>
          <w:p w:rsidR="003A7C9F" w:rsidRPr="00085A9D" w:rsidRDefault="003A7C9F" w:rsidP="00D21747">
            <w:pPr>
              <w:pStyle w:val="TableBody"/>
              <w:ind w:left="170"/>
            </w:pPr>
            <w:r w:rsidRPr="00A637E3">
              <w:t>First phase of r</w:t>
            </w:r>
            <w:r w:rsidRPr="00795C76">
              <w:t xml:space="preserve">etirement or </w:t>
            </w:r>
            <w:r w:rsidRPr="00A637E3">
              <w:t xml:space="preserve">cloud-based </w:t>
            </w:r>
            <w:r w:rsidRPr="00795C76">
              <w:t xml:space="preserve">replacement of end-of-life physical ICT infrastructure by 30 June 2017 </w:t>
            </w:r>
          </w:p>
        </w:tc>
        <w:tc>
          <w:tcPr>
            <w:tcW w:w="2262" w:type="dxa"/>
            <w:vMerge/>
          </w:tcPr>
          <w:p w:rsidR="003A7C9F" w:rsidRPr="00795C76" w:rsidRDefault="003A7C9F" w:rsidP="0039410D">
            <w:pPr>
              <w:pStyle w:val="TableBody"/>
              <w:rPr>
                <w:szCs w:val="20"/>
              </w:rPr>
            </w:pPr>
          </w:p>
        </w:tc>
      </w:tr>
      <w:tr w:rsidR="003A7C9F" w:rsidRPr="00795C76" w:rsidTr="00ED168B">
        <w:tc>
          <w:tcPr>
            <w:tcW w:w="5399" w:type="dxa"/>
          </w:tcPr>
          <w:p w:rsidR="003A7C9F" w:rsidRPr="00795C76" w:rsidRDefault="003A7C9F" w:rsidP="00806B62">
            <w:pPr>
              <w:pStyle w:val="TableBody"/>
              <w:ind w:left="170"/>
              <w:rPr>
                <w:b/>
              </w:rPr>
            </w:pPr>
            <w:r w:rsidRPr="00795C76">
              <w:t xml:space="preserve">Implement </w:t>
            </w:r>
            <w:r w:rsidRPr="00A637E3">
              <w:t xml:space="preserve">improved, </w:t>
            </w:r>
            <w:r w:rsidRPr="00795C76">
              <w:t>cost-effective disaster recovery arrangements by 30 June 2017</w:t>
            </w:r>
          </w:p>
        </w:tc>
        <w:tc>
          <w:tcPr>
            <w:tcW w:w="2262" w:type="dxa"/>
            <w:vMerge/>
          </w:tcPr>
          <w:p w:rsidR="003A7C9F" w:rsidRPr="00795C76" w:rsidRDefault="003A7C9F" w:rsidP="0039410D">
            <w:pPr>
              <w:pStyle w:val="TableBody"/>
              <w:rPr>
                <w:szCs w:val="20"/>
              </w:rPr>
            </w:pPr>
          </w:p>
        </w:tc>
      </w:tr>
      <w:tr w:rsidR="00007989" w:rsidTr="00ED168B">
        <w:tc>
          <w:tcPr>
            <w:tcW w:w="7661" w:type="dxa"/>
            <w:gridSpan w:val="2"/>
            <w:shd w:val="clear" w:color="auto" w:fill="F2F2F2" w:themeFill="background1" w:themeFillShade="F2"/>
          </w:tcPr>
          <w:p w:rsidR="00007989" w:rsidRPr="00795C76" w:rsidRDefault="00007989" w:rsidP="0039410D">
            <w:pPr>
              <w:pStyle w:val="TableBody"/>
              <w:rPr>
                <w:szCs w:val="20"/>
              </w:rPr>
            </w:pPr>
            <w:r w:rsidRPr="00795C76">
              <w:rPr>
                <w:b/>
              </w:rPr>
              <w:t>Customer experience and business process improvements:</w:t>
            </w:r>
          </w:p>
        </w:tc>
      </w:tr>
      <w:tr w:rsidR="00007989" w:rsidTr="00085A9D">
        <w:tc>
          <w:tcPr>
            <w:tcW w:w="5399" w:type="dxa"/>
          </w:tcPr>
          <w:p w:rsidR="00007989" w:rsidRPr="00085A9D" w:rsidRDefault="00007989" w:rsidP="004F0E0C">
            <w:pPr>
              <w:pStyle w:val="TableBody"/>
              <w:ind w:left="170"/>
            </w:pPr>
            <w:r w:rsidRPr="00795C76">
              <w:t xml:space="preserve">Implement TELLER—an online portal for the telecommunications industry to transact with the ACMA on their Eligible Revenue Return reporting obligations </w:t>
            </w:r>
          </w:p>
        </w:tc>
        <w:tc>
          <w:tcPr>
            <w:tcW w:w="2262" w:type="dxa"/>
            <w:vMerge w:val="restart"/>
            <w:vAlign w:val="center"/>
          </w:tcPr>
          <w:p w:rsidR="00007989" w:rsidRDefault="00007989" w:rsidP="00007989">
            <w:pPr>
              <w:pStyle w:val="TableBody"/>
              <w:rPr>
                <w:bCs/>
              </w:rPr>
            </w:pPr>
            <w:r w:rsidRPr="00795C76">
              <w:rPr>
                <w:bCs/>
              </w:rPr>
              <w:t>April–June 2017</w:t>
            </w:r>
          </w:p>
        </w:tc>
      </w:tr>
      <w:tr w:rsidR="00007989" w:rsidTr="00ED168B">
        <w:tc>
          <w:tcPr>
            <w:tcW w:w="5399" w:type="dxa"/>
          </w:tcPr>
          <w:p w:rsidR="00007989" w:rsidRPr="004270DE" w:rsidRDefault="004270DE" w:rsidP="00D21747">
            <w:pPr>
              <w:pStyle w:val="TableBody"/>
              <w:ind w:left="170"/>
            </w:pPr>
            <w:r w:rsidRPr="004270DE">
              <w:t>Commence ACMA website refresh project</w:t>
            </w:r>
          </w:p>
        </w:tc>
        <w:tc>
          <w:tcPr>
            <w:tcW w:w="2262" w:type="dxa"/>
            <w:vMerge/>
          </w:tcPr>
          <w:p w:rsidR="00007989" w:rsidRDefault="00007989" w:rsidP="0039410D">
            <w:pPr>
              <w:pStyle w:val="TableBody"/>
              <w:rPr>
                <w:bCs/>
              </w:rPr>
            </w:pPr>
          </w:p>
        </w:tc>
      </w:tr>
    </w:tbl>
    <w:p w:rsidR="00D21747" w:rsidRDefault="00D21747" w:rsidP="0024793F"/>
    <w:p w:rsidR="0039410D" w:rsidRDefault="00D21747" w:rsidP="00D21747">
      <w:pPr>
        <w:spacing w:after="0" w:line="240" w:lineRule="auto"/>
      </w:pPr>
      <w:r>
        <w:br w:type="page"/>
      </w:r>
    </w:p>
    <w:p w:rsidR="00BA35F9" w:rsidRDefault="006734C0" w:rsidP="00085A9D">
      <w:pPr>
        <w:pStyle w:val="ACMATableHeader"/>
      </w:pPr>
      <w:r w:rsidRPr="00850AE8">
        <w:lastRenderedPageBreak/>
        <w:t>Key activities to deliver</w:t>
      </w:r>
      <w:r>
        <w:t xml:space="preserve"> </w:t>
      </w:r>
      <w:proofErr w:type="spellStart"/>
      <w:r>
        <w:t>KRA</w:t>
      </w:r>
      <w:proofErr w:type="spellEnd"/>
      <w:r>
        <w:t xml:space="preserve"> 3</w:t>
      </w:r>
      <w:r w:rsidRPr="00850AE8">
        <w:t xml:space="preserve"> outcomes</w:t>
      </w:r>
      <w:r>
        <w:t>—</w:t>
      </w:r>
      <w:r w:rsidRPr="00850AE8">
        <w:t>2017 and beyond</w:t>
      </w:r>
    </w:p>
    <w:tbl>
      <w:tblPr>
        <w:tblStyle w:val="TableGrid"/>
        <w:tblW w:w="0" w:type="auto"/>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5399"/>
        <w:gridCol w:w="2262"/>
      </w:tblGrid>
      <w:tr w:rsidR="00BA35F9" w:rsidRPr="00C57C5C" w:rsidTr="00AD6476">
        <w:trPr>
          <w:tblHeader/>
        </w:trPr>
        <w:tc>
          <w:tcPr>
            <w:tcW w:w="5399" w:type="dxa"/>
            <w:shd w:val="clear" w:color="auto" w:fill="6F2E8F"/>
          </w:tcPr>
          <w:p w:rsidR="00BA35F9" w:rsidRPr="00686ADE" w:rsidRDefault="00BA35F9" w:rsidP="00686ADE">
            <w:pPr>
              <w:pStyle w:val="TableHeading"/>
              <w:rPr>
                <w:color w:val="FFFFFF" w:themeColor="background1"/>
              </w:rPr>
            </w:pPr>
            <w:r w:rsidRPr="00686ADE">
              <w:rPr>
                <w:color w:val="FFFFFF" w:themeColor="background1"/>
              </w:rPr>
              <w:t>Project description</w:t>
            </w:r>
          </w:p>
        </w:tc>
        <w:tc>
          <w:tcPr>
            <w:tcW w:w="2262" w:type="dxa"/>
            <w:shd w:val="clear" w:color="auto" w:fill="6F2E8F"/>
          </w:tcPr>
          <w:p w:rsidR="00BA35F9" w:rsidRPr="00686ADE" w:rsidRDefault="00BA35F9" w:rsidP="00686ADE">
            <w:pPr>
              <w:pStyle w:val="TableHeading"/>
              <w:rPr>
                <w:color w:val="FFFFFF" w:themeColor="background1"/>
              </w:rPr>
            </w:pPr>
            <w:r w:rsidRPr="00686ADE">
              <w:rPr>
                <w:color w:val="FFFFFF" w:themeColor="background1"/>
              </w:rPr>
              <w:t>Proposed timings</w:t>
            </w:r>
          </w:p>
        </w:tc>
      </w:tr>
      <w:tr w:rsidR="00BA35F9" w:rsidRPr="0056596F" w:rsidTr="00ED168B">
        <w:tc>
          <w:tcPr>
            <w:tcW w:w="5399" w:type="dxa"/>
            <w:shd w:val="clear" w:color="auto" w:fill="F2F2F2" w:themeFill="background1" w:themeFillShade="F2"/>
          </w:tcPr>
          <w:p w:rsidR="00BA35F9" w:rsidRPr="006D79E6" w:rsidRDefault="00BA35F9" w:rsidP="00BA35F9">
            <w:pPr>
              <w:pStyle w:val="TableBody"/>
              <w:rPr>
                <w:b/>
              </w:rPr>
            </w:pPr>
            <w:r w:rsidRPr="006D79E6">
              <w:rPr>
                <w:b/>
              </w:rPr>
              <w:t xml:space="preserve">Release of the </w:t>
            </w:r>
            <w:proofErr w:type="spellStart"/>
            <w:r w:rsidRPr="006D79E6">
              <w:rPr>
                <w:b/>
              </w:rPr>
              <w:t>researchacma</w:t>
            </w:r>
            <w:proofErr w:type="spellEnd"/>
            <w:r w:rsidRPr="006D79E6">
              <w:rPr>
                <w:b/>
              </w:rPr>
              <w:t xml:space="preserve"> program upda</w:t>
            </w:r>
            <w:r>
              <w:rPr>
                <w:b/>
              </w:rPr>
              <w:t>te</w:t>
            </w:r>
          </w:p>
        </w:tc>
        <w:tc>
          <w:tcPr>
            <w:tcW w:w="2262" w:type="dxa"/>
            <w:shd w:val="clear" w:color="auto" w:fill="F2F2F2" w:themeFill="background1" w:themeFillShade="F2"/>
          </w:tcPr>
          <w:p w:rsidR="00BA35F9" w:rsidRPr="0056596F" w:rsidRDefault="00BA35F9" w:rsidP="00BA35F9">
            <w:pPr>
              <w:pStyle w:val="TableBody"/>
              <w:rPr>
                <w:sz w:val="18"/>
                <w:szCs w:val="18"/>
              </w:rPr>
            </w:pPr>
            <w:r w:rsidRPr="005163C6">
              <w:t>A</w:t>
            </w:r>
            <w:r>
              <w:t>ugust 2017</w:t>
            </w:r>
          </w:p>
        </w:tc>
      </w:tr>
      <w:tr w:rsidR="003E3B85" w:rsidRPr="005B51B8" w:rsidTr="00ED168B">
        <w:tc>
          <w:tcPr>
            <w:tcW w:w="7661" w:type="dxa"/>
            <w:gridSpan w:val="2"/>
            <w:shd w:val="clear" w:color="auto" w:fill="F2F2F2" w:themeFill="background1" w:themeFillShade="F2"/>
          </w:tcPr>
          <w:p w:rsidR="003E3B85" w:rsidRPr="005B51B8" w:rsidRDefault="003E3B85" w:rsidP="00BA35F9">
            <w:pPr>
              <w:pStyle w:val="TableBody"/>
              <w:rPr>
                <w:szCs w:val="20"/>
              </w:rPr>
            </w:pPr>
            <w:r w:rsidRPr="006D79E6">
              <w:rPr>
                <w:b/>
              </w:rPr>
              <w:t>Consultation on:</w:t>
            </w:r>
          </w:p>
        </w:tc>
      </w:tr>
      <w:tr w:rsidR="00007989" w:rsidRPr="005B51B8" w:rsidTr="00ED168B">
        <w:tc>
          <w:tcPr>
            <w:tcW w:w="5399" w:type="dxa"/>
          </w:tcPr>
          <w:p w:rsidR="00007989" w:rsidRPr="00085A9D" w:rsidRDefault="00007989" w:rsidP="00806B62">
            <w:pPr>
              <w:pStyle w:val="TableBody"/>
              <w:ind w:left="170"/>
            </w:pPr>
            <w:r w:rsidRPr="006D79E6">
              <w:t>Regulator Performance Framework</w:t>
            </w:r>
            <w:r>
              <w:t>—</w:t>
            </w:r>
            <w:r w:rsidRPr="006D79E6">
              <w:t>2016</w:t>
            </w:r>
            <w:r>
              <w:t>–</w:t>
            </w:r>
            <w:r w:rsidRPr="006D79E6">
              <w:t>17 self-assessment report</w:t>
            </w:r>
          </w:p>
        </w:tc>
        <w:tc>
          <w:tcPr>
            <w:tcW w:w="2262" w:type="dxa"/>
          </w:tcPr>
          <w:p w:rsidR="00007989" w:rsidRDefault="00007989" w:rsidP="00007989">
            <w:pPr>
              <w:pStyle w:val="TableBody"/>
              <w:rPr>
                <w:szCs w:val="20"/>
              </w:rPr>
            </w:pPr>
            <w:r>
              <w:rPr>
                <w:szCs w:val="20"/>
              </w:rPr>
              <w:t>July–September 2017</w:t>
            </w:r>
          </w:p>
          <w:p w:rsidR="00007989" w:rsidRDefault="00007989" w:rsidP="00BA35F9">
            <w:pPr>
              <w:pStyle w:val="TableBody"/>
              <w:rPr>
                <w:szCs w:val="20"/>
              </w:rPr>
            </w:pPr>
          </w:p>
        </w:tc>
      </w:tr>
      <w:tr w:rsidR="00007989" w:rsidRPr="005B51B8" w:rsidTr="00ED168B">
        <w:tc>
          <w:tcPr>
            <w:tcW w:w="5399" w:type="dxa"/>
          </w:tcPr>
          <w:p w:rsidR="00007989" w:rsidRPr="006D79E6" w:rsidRDefault="00806B62" w:rsidP="00806B62">
            <w:pPr>
              <w:pStyle w:val="TableBody"/>
              <w:ind w:left="170"/>
              <w:rPr>
                <w:b/>
              </w:rPr>
            </w:pPr>
            <w:r>
              <w:t xml:space="preserve">Develop Australian positions in key issues for </w:t>
            </w:r>
            <w:r w:rsidR="00007989" w:rsidRPr="006D79E6">
              <w:t xml:space="preserve">2020 </w:t>
            </w:r>
            <w:proofErr w:type="spellStart"/>
            <w:r w:rsidR="00007989" w:rsidRPr="006D79E6">
              <w:t>ITU</w:t>
            </w:r>
            <w:proofErr w:type="spellEnd"/>
            <w:r w:rsidR="00007989" w:rsidRPr="006D79E6">
              <w:t xml:space="preserve"> World Telecommunication Standardi</w:t>
            </w:r>
            <w:r w:rsidR="00007989">
              <w:t>z</w:t>
            </w:r>
            <w:r w:rsidR="00007989" w:rsidRPr="006D79E6">
              <w:t>ation Assembly (</w:t>
            </w:r>
            <w:proofErr w:type="spellStart"/>
            <w:r w:rsidR="00007989" w:rsidRPr="006D79E6">
              <w:t>WTSA</w:t>
            </w:r>
            <w:proofErr w:type="spellEnd"/>
            <w:r w:rsidR="00007989" w:rsidRPr="006D79E6">
              <w:t xml:space="preserve">) </w:t>
            </w:r>
          </w:p>
        </w:tc>
        <w:tc>
          <w:tcPr>
            <w:tcW w:w="2262" w:type="dxa"/>
          </w:tcPr>
          <w:p w:rsidR="00007989" w:rsidRDefault="00007989" w:rsidP="00BA35F9">
            <w:pPr>
              <w:pStyle w:val="TableBody"/>
              <w:rPr>
                <w:szCs w:val="20"/>
              </w:rPr>
            </w:pPr>
            <w:r>
              <w:rPr>
                <w:szCs w:val="20"/>
              </w:rPr>
              <w:t>July–September 2020</w:t>
            </w:r>
          </w:p>
        </w:tc>
      </w:tr>
      <w:tr w:rsidR="00007989" w:rsidRPr="005B51B8" w:rsidTr="00ED168B">
        <w:tc>
          <w:tcPr>
            <w:tcW w:w="7661" w:type="dxa"/>
            <w:gridSpan w:val="2"/>
            <w:shd w:val="clear" w:color="auto" w:fill="F2F2F2" w:themeFill="background1" w:themeFillShade="F2"/>
          </w:tcPr>
          <w:p w:rsidR="00007989" w:rsidRDefault="00007989" w:rsidP="00BA35F9">
            <w:pPr>
              <w:pStyle w:val="TableBody"/>
              <w:rPr>
                <w:szCs w:val="20"/>
              </w:rPr>
            </w:pPr>
            <w:r>
              <w:rPr>
                <w:b/>
              </w:rPr>
              <w:t>Workforce planning and capability activities:</w:t>
            </w:r>
          </w:p>
        </w:tc>
      </w:tr>
      <w:tr w:rsidR="00007989" w:rsidRPr="005B51B8" w:rsidTr="00ED168B">
        <w:tc>
          <w:tcPr>
            <w:tcW w:w="5399" w:type="dxa"/>
          </w:tcPr>
          <w:p w:rsidR="00007989" w:rsidRDefault="00007989" w:rsidP="00D21747">
            <w:pPr>
              <w:pStyle w:val="TableBody"/>
              <w:ind w:left="170"/>
              <w:rPr>
                <w:b/>
              </w:rPr>
            </w:pPr>
            <w:r>
              <w:t>Continued focus on span of control and affordability of staffing numbers to ensure the ACMA ma</w:t>
            </w:r>
            <w:r w:rsidR="004270DE">
              <w:t>intains a sustainable workforce</w:t>
            </w:r>
          </w:p>
        </w:tc>
        <w:tc>
          <w:tcPr>
            <w:tcW w:w="2262" w:type="dxa"/>
          </w:tcPr>
          <w:p w:rsidR="00007989" w:rsidRDefault="00007989" w:rsidP="00BA35F9">
            <w:pPr>
              <w:pStyle w:val="TableBody"/>
              <w:rPr>
                <w:szCs w:val="20"/>
              </w:rPr>
            </w:pPr>
            <w:r>
              <w:rPr>
                <w:szCs w:val="20"/>
              </w:rPr>
              <w:t>Ongoing</w:t>
            </w:r>
          </w:p>
        </w:tc>
      </w:tr>
      <w:tr w:rsidR="00007989" w:rsidRPr="0056596F" w:rsidTr="00ED168B">
        <w:tc>
          <w:tcPr>
            <w:tcW w:w="7661" w:type="dxa"/>
            <w:gridSpan w:val="2"/>
            <w:shd w:val="clear" w:color="auto" w:fill="F2F2F2" w:themeFill="background1" w:themeFillShade="F2"/>
          </w:tcPr>
          <w:p w:rsidR="00007989" w:rsidRPr="00795C76" w:rsidRDefault="00007989" w:rsidP="00BA35F9">
            <w:pPr>
              <w:pStyle w:val="TableBody"/>
              <w:rPr>
                <w:szCs w:val="20"/>
              </w:rPr>
            </w:pPr>
            <w:r w:rsidRPr="00795C76">
              <w:rPr>
                <w:b/>
              </w:rPr>
              <w:t>Implementation of cloud migration strategy finalised</w:t>
            </w:r>
            <w:r>
              <w:rPr>
                <w:b/>
              </w:rPr>
              <w:t>:</w:t>
            </w:r>
          </w:p>
        </w:tc>
      </w:tr>
      <w:tr w:rsidR="00007989" w:rsidRPr="0056596F" w:rsidTr="00ED168B">
        <w:tc>
          <w:tcPr>
            <w:tcW w:w="5399" w:type="dxa"/>
          </w:tcPr>
          <w:p w:rsidR="00007989" w:rsidRPr="006D24C2" w:rsidRDefault="00007989" w:rsidP="00D21747">
            <w:pPr>
              <w:pStyle w:val="TableBody"/>
              <w:ind w:left="170"/>
            </w:pPr>
            <w:r w:rsidRPr="00A637E3">
              <w:t xml:space="preserve">Core desktop services fully migrated to </w:t>
            </w:r>
            <w:r w:rsidRPr="00795C76">
              <w:t xml:space="preserve">Software as a Service (SaaS) </w:t>
            </w:r>
            <w:r w:rsidRPr="00A637E3">
              <w:t>model</w:t>
            </w:r>
          </w:p>
        </w:tc>
        <w:tc>
          <w:tcPr>
            <w:tcW w:w="2262" w:type="dxa"/>
            <w:vMerge w:val="restart"/>
            <w:vAlign w:val="center"/>
          </w:tcPr>
          <w:p w:rsidR="00007989" w:rsidRPr="00795C76" w:rsidRDefault="00007989" w:rsidP="00007989">
            <w:pPr>
              <w:pStyle w:val="TableBody"/>
              <w:rPr>
                <w:szCs w:val="20"/>
              </w:rPr>
            </w:pPr>
            <w:r w:rsidRPr="00795C76">
              <w:rPr>
                <w:szCs w:val="20"/>
              </w:rPr>
              <w:t>April–June 2018</w:t>
            </w:r>
          </w:p>
        </w:tc>
      </w:tr>
      <w:tr w:rsidR="00007989" w:rsidRPr="0056596F" w:rsidTr="00ED168B">
        <w:tc>
          <w:tcPr>
            <w:tcW w:w="5399" w:type="dxa"/>
          </w:tcPr>
          <w:p w:rsidR="00007989" w:rsidRPr="006D24C2" w:rsidRDefault="00007989" w:rsidP="00806B62">
            <w:pPr>
              <w:pStyle w:val="TableBody"/>
              <w:ind w:left="170"/>
            </w:pPr>
            <w:r w:rsidRPr="00A637E3">
              <w:t xml:space="preserve">Implement </w:t>
            </w:r>
            <w:r w:rsidRPr="00795C76">
              <w:t>Infrastructure as a Service (</w:t>
            </w:r>
            <w:proofErr w:type="spellStart"/>
            <w:r w:rsidRPr="00795C76">
              <w:t>IaaS</w:t>
            </w:r>
            <w:proofErr w:type="spellEnd"/>
            <w:r w:rsidRPr="00795C76">
              <w:t xml:space="preserve">) </w:t>
            </w:r>
            <w:r w:rsidRPr="00A637E3">
              <w:t>arrangements</w:t>
            </w:r>
            <w:r w:rsidRPr="00795C76">
              <w:t xml:space="preserve"> to complete the consolidation and replacement end-of-life IT infrastructure </w:t>
            </w:r>
          </w:p>
        </w:tc>
        <w:tc>
          <w:tcPr>
            <w:tcW w:w="2262" w:type="dxa"/>
            <w:vMerge/>
          </w:tcPr>
          <w:p w:rsidR="00007989" w:rsidRPr="00795C76" w:rsidRDefault="00007989" w:rsidP="00BA35F9">
            <w:pPr>
              <w:pStyle w:val="TableBody"/>
              <w:rPr>
                <w:szCs w:val="20"/>
              </w:rPr>
            </w:pPr>
          </w:p>
        </w:tc>
      </w:tr>
      <w:tr w:rsidR="00007989" w:rsidRPr="0056596F" w:rsidTr="00ED168B">
        <w:tc>
          <w:tcPr>
            <w:tcW w:w="5399" w:type="dxa"/>
          </w:tcPr>
          <w:p w:rsidR="00007989" w:rsidRPr="006D24C2" w:rsidRDefault="00007989" w:rsidP="00D21747">
            <w:pPr>
              <w:pStyle w:val="TableBody"/>
              <w:ind w:left="170"/>
            </w:pPr>
            <w:r w:rsidRPr="00A637E3">
              <w:t xml:space="preserve">Corporate website migrated to </w:t>
            </w:r>
            <w:r w:rsidRPr="00795C76">
              <w:t>Platform as a Service (</w:t>
            </w:r>
            <w:proofErr w:type="spellStart"/>
            <w:r w:rsidRPr="00795C76">
              <w:t>PaaS</w:t>
            </w:r>
            <w:proofErr w:type="spellEnd"/>
            <w:r w:rsidRPr="00795C76">
              <w:t xml:space="preserve">) </w:t>
            </w:r>
            <w:r w:rsidRPr="00A637E3">
              <w:t>model</w:t>
            </w:r>
          </w:p>
        </w:tc>
        <w:tc>
          <w:tcPr>
            <w:tcW w:w="2262" w:type="dxa"/>
            <w:vMerge/>
          </w:tcPr>
          <w:p w:rsidR="00007989" w:rsidRPr="00795C76" w:rsidRDefault="00007989" w:rsidP="00BA35F9">
            <w:pPr>
              <w:pStyle w:val="TableBody"/>
              <w:rPr>
                <w:szCs w:val="20"/>
              </w:rPr>
            </w:pPr>
          </w:p>
        </w:tc>
      </w:tr>
      <w:tr w:rsidR="00BA35F9" w:rsidRPr="0056596F" w:rsidTr="00ED168B">
        <w:tc>
          <w:tcPr>
            <w:tcW w:w="5399" w:type="dxa"/>
            <w:shd w:val="clear" w:color="auto" w:fill="F2F2F2" w:themeFill="background1" w:themeFillShade="F2"/>
          </w:tcPr>
          <w:p w:rsidR="00BA35F9" w:rsidRPr="0056596F" w:rsidRDefault="00BA35F9" w:rsidP="00806B62">
            <w:pPr>
              <w:pStyle w:val="TableBody"/>
            </w:pPr>
            <w:r w:rsidRPr="006D79E6">
              <w:rPr>
                <w:b/>
              </w:rPr>
              <w:t>Implement ACMA 2018</w:t>
            </w:r>
            <w:r>
              <w:rPr>
                <w:b/>
              </w:rPr>
              <w:t>–</w:t>
            </w:r>
            <w:r w:rsidRPr="006D79E6">
              <w:rPr>
                <w:b/>
              </w:rPr>
              <w:t>22 International Engagement Strategy</w:t>
            </w:r>
            <w:r w:rsidRPr="005163C6">
              <w:rPr>
                <w:szCs w:val="20"/>
              </w:rPr>
              <w:t xml:space="preserve"> </w:t>
            </w:r>
          </w:p>
        </w:tc>
        <w:tc>
          <w:tcPr>
            <w:tcW w:w="2262" w:type="dxa"/>
            <w:shd w:val="clear" w:color="auto" w:fill="F2F2F2" w:themeFill="background1" w:themeFillShade="F2"/>
          </w:tcPr>
          <w:p w:rsidR="00BA35F9" w:rsidRPr="0056596F" w:rsidRDefault="00BA35F9" w:rsidP="00BA35F9">
            <w:pPr>
              <w:pStyle w:val="TableBody"/>
              <w:rPr>
                <w:szCs w:val="20"/>
              </w:rPr>
            </w:pPr>
            <w:r>
              <w:rPr>
                <w:szCs w:val="20"/>
              </w:rPr>
              <w:t>By 30 June 2018</w:t>
            </w:r>
          </w:p>
        </w:tc>
      </w:tr>
      <w:tr w:rsidR="00BA35F9" w:rsidRPr="0056596F" w:rsidTr="00ED168B">
        <w:tc>
          <w:tcPr>
            <w:tcW w:w="5399" w:type="dxa"/>
            <w:shd w:val="clear" w:color="auto" w:fill="F2F2F2" w:themeFill="background1" w:themeFillShade="F2"/>
          </w:tcPr>
          <w:p w:rsidR="00BA35F9" w:rsidRPr="006D79E6" w:rsidRDefault="00BA35F9" w:rsidP="00806B62">
            <w:pPr>
              <w:pStyle w:val="TableBody"/>
              <w:rPr>
                <w:b/>
              </w:rPr>
            </w:pPr>
            <w:r>
              <w:rPr>
                <w:b/>
              </w:rPr>
              <w:t>Implement strategic review of property management plan</w:t>
            </w:r>
          </w:p>
        </w:tc>
        <w:tc>
          <w:tcPr>
            <w:tcW w:w="2262" w:type="dxa"/>
            <w:shd w:val="clear" w:color="auto" w:fill="F2F2F2" w:themeFill="background1" w:themeFillShade="F2"/>
          </w:tcPr>
          <w:p w:rsidR="00BA35F9" w:rsidRDefault="00BA35F9" w:rsidP="00BA35F9">
            <w:pPr>
              <w:pStyle w:val="TableBody"/>
              <w:rPr>
                <w:szCs w:val="20"/>
              </w:rPr>
            </w:pPr>
            <w:r>
              <w:rPr>
                <w:szCs w:val="20"/>
              </w:rPr>
              <w:t>At lease expiry for current leases</w:t>
            </w:r>
          </w:p>
        </w:tc>
      </w:tr>
    </w:tbl>
    <w:p w:rsidR="00BA35F9" w:rsidRDefault="00BA35F9" w:rsidP="00ED168B">
      <w:pPr>
        <w:pStyle w:val="ACMASpaceaftertable"/>
        <w:spacing w:after="120"/>
      </w:pPr>
    </w:p>
    <w:p w:rsidR="00B937C1" w:rsidRPr="00B937C1" w:rsidRDefault="00B937C1" w:rsidP="006D24C2">
      <w:pPr>
        <w:pStyle w:val="Heading3"/>
      </w:pPr>
      <w:bookmarkStart w:id="51" w:name="_Toc453682116"/>
      <w:bookmarkStart w:id="52" w:name="_Toc453828799"/>
      <w:bookmarkStart w:id="53" w:name="_Toc457898853"/>
      <w:r w:rsidRPr="00B937C1">
        <w:t>Performance targets</w:t>
      </w:r>
      <w:bookmarkEnd w:id="51"/>
      <w:bookmarkEnd w:id="52"/>
      <w:bookmarkEnd w:id="53"/>
    </w:p>
    <w:p w:rsidR="00B90F02" w:rsidRDefault="00B937C1" w:rsidP="00B937C1">
      <w:r w:rsidRPr="00B937C1">
        <w:t xml:space="preserve">The ACMA will monitor its performance in </w:t>
      </w:r>
      <w:proofErr w:type="spellStart"/>
      <w:r w:rsidRPr="00B937C1">
        <w:t>KRA</w:t>
      </w:r>
      <w:proofErr w:type="spellEnd"/>
      <w:r w:rsidRPr="00B937C1">
        <w:t xml:space="preserve"> 3 across the life of this plan against the following performance targets</w:t>
      </w:r>
      <w:r w:rsidR="006734C0">
        <w:t xml:space="preserve"> in Table 9.</w:t>
      </w:r>
    </w:p>
    <w:p w:rsidR="00B90F02" w:rsidRDefault="00B90F02">
      <w:pPr>
        <w:spacing w:after="0" w:line="240" w:lineRule="auto"/>
      </w:pPr>
      <w:r>
        <w:br w:type="page"/>
      </w:r>
    </w:p>
    <w:p w:rsidR="006734C0" w:rsidRPr="00B937C1" w:rsidRDefault="006734C0" w:rsidP="00B90F02">
      <w:pPr>
        <w:pStyle w:val="ACMATableHeader"/>
      </w:pPr>
      <w:proofErr w:type="spellStart"/>
      <w:r w:rsidRPr="00AF1C69">
        <w:lastRenderedPageBreak/>
        <w:t>KRA</w:t>
      </w:r>
      <w:proofErr w:type="spellEnd"/>
      <w:r w:rsidRPr="00AF1C69">
        <w:t xml:space="preserve"> </w:t>
      </w:r>
      <w:r>
        <w:t>3</w:t>
      </w:r>
      <w:r w:rsidRPr="00AF1C69">
        <w:t xml:space="preserve"> </w:t>
      </w:r>
      <w:r>
        <w:t>performance targets, 2016–20</w:t>
      </w:r>
    </w:p>
    <w:tbl>
      <w:tblPr>
        <w:tblStyle w:val="GridTable4"/>
        <w:tblW w:w="9250" w:type="dxa"/>
        <w:tblLayout w:type="fixed"/>
        <w:tblCellMar>
          <w:top w:w="57" w:type="dxa"/>
          <w:left w:w="57" w:type="dxa"/>
          <w:bottom w:w="57" w:type="dxa"/>
          <w:right w:w="57" w:type="dxa"/>
        </w:tblCellMar>
        <w:tblLook w:val="04A0" w:firstRow="1" w:lastRow="0" w:firstColumn="1" w:lastColumn="0" w:noHBand="0" w:noVBand="1"/>
        <w:tblCaption w:val="Project descriptions and timings are in this table."/>
      </w:tblPr>
      <w:tblGrid>
        <w:gridCol w:w="4832"/>
        <w:gridCol w:w="1104"/>
        <w:gridCol w:w="1105"/>
        <w:gridCol w:w="1104"/>
        <w:gridCol w:w="1105"/>
      </w:tblGrid>
      <w:tr w:rsidR="00686ADE" w:rsidRPr="00B937C1" w:rsidTr="00AD6476">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4832" w:type="dxa"/>
            <w:shd w:val="clear" w:color="auto" w:fill="6F2E8F"/>
            <w:vAlign w:val="center"/>
          </w:tcPr>
          <w:p w:rsidR="00686ADE" w:rsidRPr="00B937C1" w:rsidRDefault="00686ADE" w:rsidP="00686ADE">
            <w:pPr>
              <w:pStyle w:val="TableBody"/>
            </w:pPr>
            <w:r w:rsidRPr="00686ADE">
              <w:rPr>
                <w:color w:val="F2F2F2" w:themeColor="background1" w:themeShade="F2"/>
              </w:rPr>
              <w:t>Target</w:t>
            </w:r>
          </w:p>
        </w:tc>
        <w:tc>
          <w:tcPr>
            <w:tcW w:w="1104" w:type="dxa"/>
            <w:shd w:val="clear" w:color="auto" w:fill="6F2E8F"/>
            <w:vAlign w:val="center"/>
          </w:tcPr>
          <w:p w:rsidR="00686ADE" w:rsidRPr="00B937C1" w:rsidRDefault="00686ADE" w:rsidP="00686ADE">
            <w:pPr>
              <w:pStyle w:val="TableBody"/>
              <w:cnfStyle w:val="100000000000" w:firstRow="1" w:lastRow="0" w:firstColumn="0" w:lastColumn="0" w:oddVBand="0" w:evenVBand="0" w:oddHBand="0" w:evenHBand="0" w:firstRowFirstColumn="0" w:firstRowLastColumn="0" w:lastRowFirstColumn="0" w:lastRowLastColumn="0"/>
            </w:pPr>
            <w:r w:rsidRPr="00686ADE">
              <w:rPr>
                <w:color w:val="F2F2F2" w:themeColor="background1" w:themeShade="F2"/>
              </w:rPr>
              <w:t>2016–</w:t>
            </w:r>
            <w:r w:rsidRPr="00C11363">
              <w:rPr>
                <w:color w:val="F2F2F2" w:themeColor="background1" w:themeShade="F2"/>
              </w:rPr>
              <w:t>17</w:t>
            </w:r>
          </w:p>
        </w:tc>
        <w:tc>
          <w:tcPr>
            <w:tcW w:w="1105" w:type="dxa"/>
            <w:shd w:val="clear" w:color="auto" w:fill="6F2E8F"/>
            <w:vAlign w:val="center"/>
          </w:tcPr>
          <w:p w:rsidR="00686ADE" w:rsidRPr="00B937C1" w:rsidRDefault="00686ADE" w:rsidP="00686ADE">
            <w:pPr>
              <w:pStyle w:val="TableBody"/>
              <w:cnfStyle w:val="100000000000" w:firstRow="1" w:lastRow="0" w:firstColumn="0" w:lastColumn="0" w:oddVBand="0" w:evenVBand="0" w:oddHBand="0" w:evenHBand="0" w:firstRowFirstColumn="0" w:firstRowLastColumn="0" w:lastRowFirstColumn="0" w:lastRowLastColumn="0"/>
            </w:pPr>
            <w:r w:rsidRPr="00686ADE">
              <w:rPr>
                <w:color w:val="F2F2F2" w:themeColor="background1" w:themeShade="F2"/>
              </w:rPr>
              <w:t>2017–</w:t>
            </w:r>
            <w:r w:rsidRPr="00C11363">
              <w:rPr>
                <w:color w:val="F2F2F2" w:themeColor="background1" w:themeShade="F2"/>
              </w:rPr>
              <w:t>18</w:t>
            </w:r>
          </w:p>
        </w:tc>
        <w:tc>
          <w:tcPr>
            <w:tcW w:w="1104" w:type="dxa"/>
            <w:shd w:val="clear" w:color="auto" w:fill="6F2E8F"/>
            <w:vAlign w:val="center"/>
          </w:tcPr>
          <w:p w:rsidR="00686ADE" w:rsidRPr="00B937C1" w:rsidRDefault="00686ADE" w:rsidP="00686ADE">
            <w:pPr>
              <w:pStyle w:val="TableBody"/>
              <w:cnfStyle w:val="100000000000" w:firstRow="1" w:lastRow="0" w:firstColumn="0" w:lastColumn="0" w:oddVBand="0" w:evenVBand="0" w:oddHBand="0" w:evenHBand="0" w:firstRowFirstColumn="0" w:firstRowLastColumn="0" w:lastRowFirstColumn="0" w:lastRowLastColumn="0"/>
            </w:pPr>
            <w:r w:rsidRPr="00686ADE">
              <w:rPr>
                <w:color w:val="F2F2F2" w:themeColor="background1" w:themeShade="F2"/>
              </w:rPr>
              <w:t>2018–</w:t>
            </w:r>
            <w:r w:rsidRPr="00C11363">
              <w:rPr>
                <w:color w:val="F2F2F2" w:themeColor="background1" w:themeShade="F2"/>
              </w:rPr>
              <w:t>19</w:t>
            </w:r>
          </w:p>
        </w:tc>
        <w:tc>
          <w:tcPr>
            <w:tcW w:w="1105" w:type="dxa"/>
            <w:shd w:val="clear" w:color="auto" w:fill="6F2E8F"/>
            <w:vAlign w:val="center"/>
          </w:tcPr>
          <w:p w:rsidR="00686ADE" w:rsidRPr="00B937C1" w:rsidRDefault="00686ADE" w:rsidP="00686ADE">
            <w:pPr>
              <w:pStyle w:val="TableBody"/>
              <w:cnfStyle w:val="100000000000" w:firstRow="1" w:lastRow="0" w:firstColumn="0" w:lastColumn="0" w:oddVBand="0" w:evenVBand="0" w:oddHBand="0" w:evenHBand="0" w:firstRowFirstColumn="0" w:firstRowLastColumn="0" w:lastRowFirstColumn="0" w:lastRowLastColumn="0"/>
            </w:pPr>
            <w:r w:rsidRPr="00686ADE">
              <w:rPr>
                <w:color w:val="F2F2F2" w:themeColor="background1" w:themeShade="F2"/>
              </w:rPr>
              <w:t>2019–</w:t>
            </w:r>
            <w:r w:rsidRPr="00C11363">
              <w:rPr>
                <w:color w:val="F2F2F2" w:themeColor="background1" w:themeShade="F2"/>
              </w:rPr>
              <w:t>20</w:t>
            </w:r>
          </w:p>
        </w:tc>
      </w:tr>
      <w:tr w:rsidR="00B937C1" w:rsidRPr="00B937C1" w:rsidTr="006D24C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B937C1" w:rsidRPr="00686ADE" w:rsidRDefault="00806B62" w:rsidP="00806B62">
            <w:pPr>
              <w:pStyle w:val="TableBody"/>
              <w:rPr>
                <w:b w:val="0"/>
              </w:rPr>
            </w:pPr>
            <w:r>
              <w:rPr>
                <w:rFonts w:eastAsia="Cambria"/>
                <w:b w:val="0"/>
              </w:rPr>
              <w:t xml:space="preserve">Publish </w:t>
            </w:r>
            <w:r w:rsidR="00B937C1" w:rsidRPr="00686ADE">
              <w:rPr>
                <w:rFonts w:eastAsia="Cambria"/>
                <w:b w:val="0"/>
              </w:rPr>
              <w:t xml:space="preserve">updated </w:t>
            </w:r>
            <w:proofErr w:type="spellStart"/>
            <w:r w:rsidR="00B937C1" w:rsidRPr="00686ADE">
              <w:rPr>
                <w:rFonts w:eastAsia="Cambria"/>
                <w:b w:val="0"/>
              </w:rPr>
              <w:t>research</w:t>
            </w:r>
            <w:r w:rsidR="00B937C1" w:rsidRPr="006D24C2">
              <w:rPr>
                <w:rFonts w:eastAsia="Cambria"/>
              </w:rPr>
              <w:t>acma</w:t>
            </w:r>
            <w:proofErr w:type="spellEnd"/>
            <w:r w:rsidR="00B937C1" w:rsidRPr="00686ADE">
              <w:rPr>
                <w:rFonts w:eastAsia="Cambria"/>
                <w:b w:val="0"/>
              </w:rPr>
              <w:t xml:space="preserve"> program by August.</w:t>
            </w: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r>
      <w:tr w:rsidR="00B937C1" w:rsidRPr="00B937C1" w:rsidTr="006D24C2">
        <w:trPr>
          <w:trHeight w:val="482"/>
        </w:trPr>
        <w:tc>
          <w:tcPr>
            <w:cnfStyle w:val="001000000000" w:firstRow="0" w:lastRow="0" w:firstColumn="1" w:lastColumn="0" w:oddVBand="0" w:evenVBand="0" w:oddHBand="0" w:evenHBand="0" w:firstRowFirstColumn="0" w:firstRowLastColumn="0" w:lastRowFirstColumn="0" w:lastRowLastColumn="0"/>
            <w:tcW w:w="4832" w:type="dxa"/>
          </w:tcPr>
          <w:p w:rsidR="00B937C1" w:rsidRPr="00686ADE" w:rsidRDefault="00B937C1" w:rsidP="00806B62">
            <w:pPr>
              <w:pStyle w:val="TableBody"/>
              <w:rPr>
                <w:b w:val="0"/>
              </w:rPr>
            </w:pPr>
            <w:r w:rsidRPr="00686ADE">
              <w:rPr>
                <w:rFonts w:eastAsia="Cambria"/>
                <w:b w:val="0"/>
              </w:rPr>
              <w:t>Complet</w:t>
            </w:r>
            <w:r w:rsidR="00806B62">
              <w:rPr>
                <w:rFonts w:eastAsia="Cambria"/>
                <w:b w:val="0"/>
              </w:rPr>
              <w:t>e</w:t>
            </w:r>
            <w:r w:rsidRPr="00686ADE">
              <w:rPr>
                <w:rFonts w:eastAsia="Cambria"/>
                <w:b w:val="0"/>
              </w:rPr>
              <w:t xml:space="preserve"> performance reporting requirements within required time</w:t>
            </w:r>
            <w:r w:rsidR="00686ADE">
              <w:rPr>
                <w:rFonts w:eastAsia="Cambria"/>
                <w:b w:val="0"/>
              </w:rPr>
              <w:t xml:space="preserve"> </w:t>
            </w:r>
            <w:r w:rsidRPr="00686ADE">
              <w:rPr>
                <w:rFonts w:eastAsia="Cambria"/>
                <w:b w:val="0"/>
              </w:rPr>
              <w:t>frames.</w:t>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r>
      <w:tr w:rsidR="00B937C1" w:rsidRPr="00B937C1" w:rsidTr="006D24C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B937C1" w:rsidRPr="00686ADE" w:rsidRDefault="00B937C1" w:rsidP="00806B62">
            <w:pPr>
              <w:pStyle w:val="TableBody"/>
              <w:rPr>
                <w:rFonts w:eastAsia="Cambria"/>
                <w:b w:val="0"/>
              </w:rPr>
            </w:pPr>
            <w:r w:rsidRPr="00686ADE">
              <w:rPr>
                <w:rFonts w:eastAsia="Cambria"/>
                <w:b w:val="0"/>
              </w:rPr>
              <w:t>Publi</w:t>
            </w:r>
            <w:r w:rsidR="00806B62">
              <w:rPr>
                <w:rFonts w:eastAsia="Cambria"/>
                <w:b w:val="0"/>
              </w:rPr>
              <w:t xml:space="preserve">sh </w:t>
            </w:r>
            <w:r w:rsidRPr="00686ADE">
              <w:rPr>
                <w:rFonts w:eastAsia="Cambria"/>
                <w:b w:val="0"/>
              </w:rPr>
              <w:t>update of the international operational plan by September.</w:t>
            </w: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r>
      <w:tr w:rsidR="00B937C1" w:rsidRPr="00B937C1" w:rsidTr="006D24C2">
        <w:trPr>
          <w:trHeight w:val="399"/>
        </w:trPr>
        <w:tc>
          <w:tcPr>
            <w:cnfStyle w:val="001000000000" w:firstRow="0" w:lastRow="0" w:firstColumn="1" w:lastColumn="0" w:oddVBand="0" w:evenVBand="0" w:oddHBand="0" w:evenHBand="0" w:firstRowFirstColumn="0" w:firstRowLastColumn="0" w:lastRowFirstColumn="0" w:lastRowLastColumn="0"/>
            <w:tcW w:w="4832" w:type="dxa"/>
          </w:tcPr>
          <w:p w:rsidR="00B937C1" w:rsidRPr="00686ADE" w:rsidRDefault="00B937C1" w:rsidP="00C15DA3">
            <w:pPr>
              <w:pStyle w:val="TableBody"/>
              <w:rPr>
                <w:rFonts w:eastAsia="Cambria"/>
                <w:b w:val="0"/>
              </w:rPr>
            </w:pPr>
            <w:r w:rsidRPr="00686ADE">
              <w:rPr>
                <w:rFonts w:eastAsia="Cambria"/>
                <w:b w:val="0"/>
              </w:rPr>
              <w:t>ACMA Customer Service Centre res</w:t>
            </w:r>
            <w:r w:rsidR="00C15DA3">
              <w:rPr>
                <w:rFonts w:eastAsia="Cambria"/>
                <w:b w:val="0"/>
              </w:rPr>
              <w:t>olves</w:t>
            </w:r>
            <w:r w:rsidRPr="00686ADE">
              <w:rPr>
                <w:rFonts w:eastAsia="Cambria"/>
                <w:b w:val="0"/>
              </w:rPr>
              <w:t xml:space="preserve"> 95</w:t>
            </w:r>
            <w:r w:rsidR="00686ADE">
              <w:rPr>
                <w:rFonts w:eastAsia="Cambria"/>
                <w:b w:val="0"/>
              </w:rPr>
              <w:t>%</w:t>
            </w:r>
            <w:r w:rsidRPr="00686ADE">
              <w:rPr>
                <w:rFonts w:eastAsia="Cambria"/>
                <w:b w:val="0"/>
              </w:rPr>
              <w:t xml:space="preserve"> of customer enquiries within </w:t>
            </w:r>
            <w:r w:rsidR="00686ADE">
              <w:rPr>
                <w:rFonts w:eastAsia="Cambria"/>
                <w:b w:val="0"/>
              </w:rPr>
              <w:t>3</w:t>
            </w:r>
            <w:r w:rsidR="00686ADE" w:rsidRPr="00686ADE">
              <w:rPr>
                <w:rFonts w:eastAsia="Cambria"/>
                <w:b w:val="0"/>
              </w:rPr>
              <w:t xml:space="preserve"> </w:t>
            </w:r>
            <w:r w:rsidRPr="00686ADE">
              <w:rPr>
                <w:rFonts w:eastAsia="Cambria"/>
                <w:b w:val="0"/>
              </w:rPr>
              <w:t>working days.</w:t>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r>
      <w:tr w:rsidR="00B937C1" w:rsidRPr="00B937C1" w:rsidTr="006D24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B937C1" w:rsidRPr="00686ADE" w:rsidRDefault="00B937C1" w:rsidP="00B937C1">
            <w:pPr>
              <w:pStyle w:val="TableBody"/>
              <w:rPr>
                <w:rFonts w:eastAsia="Cambria"/>
                <w:b w:val="0"/>
              </w:rPr>
            </w:pPr>
            <w:r w:rsidRPr="00686ADE">
              <w:rPr>
                <w:rFonts w:eastAsia="Cambria"/>
                <w:b w:val="0"/>
              </w:rPr>
              <w:t xml:space="preserve">Research published in accordance with the </w:t>
            </w:r>
            <w:proofErr w:type="spellStart"/>
            <w:r w:rsidRPr="00686ADE">
              <w:rPr>
                <w:rFonts w:eastAsia="Cambria"/>
                <w:b w:val="0"/>
              </w:rPr>
              <w:t>research</w:t>
            </w:r>
            <w:r w:rsidRPr="006D24C2">
              <w:rPr>
                <w:rFonts w:eastAsia="Cambria"/>
              </w:rPr>
              <w:t>acma</w:t>
            </w:r>
            <w:proofErr w:type="spellEnd"/>
            <w:r w:rsidRPr="00686ADE">
              <w:rPr>
                <w:rFonts w:eastAsia="Cambria"/>
                <w:b w:val="0"/>
              </w:rPr>
              <w:t xml:space="preserve"> program. </w:t>
            </w: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r>
      <w:tr w:rsidR="00B937C1" w:rsidRPr="00B937C1" w:rsidTr="006D24C2">
        <w:trPr>
          <w:trHeight w:val="970"/>
        </w:trPr>
        <w:tc>
          <w:tcPr>
            <w:cnfStyle w:val="001000000000" w:firstRow="0" w:lastRow="0" w:firstColumn="1" w:lastColumn="0" w:oddVBand="0" w:evenVBand="0" w:oddHBand="0" w:evenHBand="0" w:firstRowFirstColumn="0" w:firstRowLastColumn="0" w:lastRowFirstColumn="0" w:lastRowLastColumn="0"/>
            <w:tcW w:w="4832" w:type="dxa"/>
          </w:tcPr>
          <w:p w:rsidR="00B937C1" w:rsidRPr="00686ADE" w:rsidRDefault="00B937C1" w:rsidP="00806B62">
            <w:pPr>
              <w:pStyle w:val="TableBody"/>
              <w:rPr>
                <w:rFonts w:eastAsia="Cambria"/>
                <w:b w:val="0"/>
              </w:rPr>
            </w:pPr>
            <w:r w:rsidRPr="00686ADE">
              <w:rPr>
                <w:rFonts w:eastAsia="Cambria"/>
                <w:b w:val="0"/>
              </w:rPr>
              <w:t>Revis</w:t>
            </w:r>
            <w:r w:rsidR="00806B62">
              <w:rPr>
                <w:rFonts w:eastAsia="Cambria"/>
                <w:b w:val="0"/>
              </w:rPr>
              <w:t>e</w:t>
            </w:r>
            <w:r w:rsidRPr="00686ADE">
              <w:rPr>
                <w:rFonts w:eastAsia="Cambria"/>
                <w:b w:val="0"/>
              </w:rPr>
              <w:t xml:space="preserve"> performance reporting mechanisms to address changes to </w:t>
            </w:r>
            <w:proofErr w:type="spellStart"/>
            <w:r w:rsidRPr="00686ADE">
              <w:rPr>
                <w:rFonts w:eastAsia="Cambria"/>
                <w:b w:val="0"/>
              </w:rPr>
              <w:t>PGPA</w:t>
            </w:r>
            <w:proofErr w:type="spellEnd"/>
            <w:r w:rsidRPr="00686ADE">
              <w:rPr>
                <w:rFonts w:eastAsia="Cambria"/>
                <w:b w:val="0"/>
              </w:rPr>
              <w:t xml:space="preserve"> Act reporting requirements, and implement risk management strategy to meet time</w:t>
            </w:r>
            <w:r w:rsidR="00686ADE">
              <w:rPr>
                <w:rFonts w:eastAsia="Cambria"/>
                <w:b w:val="0"/>
              </w:rPr>
              <w:t xml:space="preserve"> </w:t>
            </w:r>
            <w:r w:rsidRPr="00686ADE">
              <w:rPr>
                <w:rFonts w:eastAsia="Cambria"/>
                <w:b w:val="0"/>
              </w:rPr>
              <w:t>frames for 2016 and 2017 reporting requirements.</w:t>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5" w:type="dxa"/>
          </w:tcPr>
          <w:p w:rsidR="00B937C1" w:rsidRPr="00B937C1" w:rsidRDefault="00092CCD"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r>
      <w:tr w:rsidR="00B937C1" w:rsidRPr="00B937C1" w:rsidTr="006D24C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B937C1" w:rsidRPr="00686ADE" w:rsidRDefault="00B937C1" w:rsidP="00806B62">
            <w:pPr>
              <w:pStyle w:val="TableBody"/>
              <w:rPr>
                <w:rFonts w:eastAsia="Cambria"/>
                <w:b w:val="0"/>
              </w:rPr>
            </w:pPr>
            <w:r w:rsidRPr="00686ADE">
              <w:rPr>
                <w:rFonts w:eastAsia="Cambria"/>
                <w:b w:val="0"/>
              </w:rPr>
              <w:t xml:space="preserve">Implement customer experience and business process improvements by June 2017. </w:t>
            </w: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r>
      <w:tr w:rsidR="00B937C1" w:rsidRPr="00B937C1" w:rsidTr="006D24C2">
        <w:trPr>
          <w:trHeight w:val="566"/>
        </w:trPr>
        <w:tc>
          <w:tcPr>
            <w:cnfStyle w:val="001000000000" w:firstRow="0" w:lastRow="0" w:firstColumn="1" w:lastColumn="0" w:oddVBand="0" w:evenVBand="0" w:oddHBand="0" w:evenHBand="0" w:firstRowFirstColumn="0" w:firstRowLastColumn="0" w:lastRowFirstColumn="0" w:lastRowLastColumn="0"/>
            <w:tcW w:w="4832" w:type="dxa"/>
          </w:tcPr>
          <w:p w:rsidR="00B937C1" w:rsidRPr="00686ADE" w:rsidRDefault="00806B62" w:rsidP="00806B62">
            <w:pPr>
              <w:pStyle w:val="TableBody"/>
              <w:rPr>
                <w:rFonts w:eastAsia="Cambria"/>
                <w:b w:val="0"/>
              </w:rPr>
            </w:pPr>
            <w:r>
              <w:rPr>
                <w:rFonts w:eastAsia="Cambria"/>
                <w:b w:val="0"/>
              </w:rPr>
              <w:t>Commence p</w:t>
            </w:r>
            <w:r w:rsidR="00B937C1" w:rsidRPr="00686ADE">
              <w:rPr>
                <w:rFonts w:eastAsia="Cambria"/>
                <w:b w:val="0"/>
              </w:rPr>
              <w:t xml:space="preserve">reparation for 2016 </w:t>
            </w:r>
            <w:proofErr w:type="spellStart"/>
            <w:r w:rsidR="00B937C1" w:rsidRPr="00686ADE">
              <w:rPr>
                <w:rFonts w:eastAsia="Cambria"/>
                <w:b w:val="0"/>
              </w:rPr>
              <w:t>ITU</w:t>
            </w:r>
            <w:proofErr w:type="spellEnd"/>
            <w:r w:rsidR="00B937C1" w:rsidRPr="00686ADE">
              <w:rPr>
                <w:rFonts w:eastAsia="Cambria"/>
                <w:b w:val="0"/>
              </w:rPr>
              <w:t xml:space="preserve"> World Telecommunication Standardization Assembly (</w:t>
            </w:r>
            <w:proofErr w:type="spellStart"/>
            <w:r w:rsidR="00B937C1" w:rsidRPr="00686ADE">
              <w:rPr>
                <w:rFonts w:eastAsia="Cambria"/>
                <w:b w:val="0"/>
              </w:rPr>
              <w:t>WTSA</w:t>
            </w:r>
            <w:proofErr w:type="spellEnd"/>
            <w:r w:rsidR="00B937C1" w:rsidRPr="00686ADE">
              <w:rPr>
                <w:rFonts w:eastAsia="Cambria"/>
                <w:b w:val="0"/>
              </w:rPr>
              <w:t xml:space="preserve">) </w:t>
            </w:r>
            <w:r>
              <w:rPr>
                <w:rFonts w:eastAsia="Cambria"/>
                <w:b w:val="0"/>
              </w:rPr>
              <w:t xml:space="preserve">by </w:t>
            </w:r>
            <w:r w:rsidR="00B937C1" w:rsidRPr="00686ADE">
              <w:rPr>
                <w:rFonts w:eastAsia="Cambria"/>
                <w:b w:val="0"/>
              </w:rPr>
              <w:t>June 2016.</w:t>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r>
      <w:tr w:rsidR="00B937C1" w:rsidRPr="00B937C1" w:rsidTr="006D24C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B937C1" w:rsidRPr="00686ADE" w:rsidRDefault="00B937C1" w:rsidP="00B937C1">
            <w:pPr>
              <w:pStyle w:val="TableBody"/>
              <w:rPr>
                <w:rFonts w:eastAsia="Cambria"/>
                <w:b w:val="0"/>
              </w:rPr>
            </w:pPr>
            <w:r w:rsidRPr="00686ADE">
              <w:rPr>
                <w:rFonts w:eastAsia="Cambria"/>
                <w:b w:val="0"/>
              </w:rPr>
              <w:t>Implement workforce planning and capability strategy objectives, including:</w:t>
            </w:r>
          </w:p>
          <w:p w:rsidR="00B937C1" w:rsidRPr="00C11363" w:rsidRDefault="00B937C1" w:rsidP="006D24C2">
            <w:pPr>
              <w:pStyle w:val="TableBody"/>
              <w:numPr>
                <w:ilvl w:val="0"/>
                <w:numId w:val="30"/>
              </w:numPr>
              <w:ind w:left="284" w:hanging="284"/>
              <w:rPr>
                <w:b w:val="0"/>
                <w:bCs w:val="0"/>
              </w:rPr>
            </w:pPr>
            <w:r w:rsidRPr="00C11363">
              <w:rPr>
                <w:b w:val="0"/>
                <w:bCs w:val="0"/>
              </w:rPr>
              <w:t>development of staffing number estimates by December 2016</w:t>
            </w:r>
          </w:p>
          <w:p w:rsidR="00B937C1" w:rsidRPr="00686ADE" w:rsidRDefault="00BA530C" w:rsidP="00BA530C">
            <w:pPr>
              <w:pStyle w:val="TableBody"/>
              <w:numPr>
                <w:ilvl w:val="0"/>
                <w:numId w:val="30"/>
              </w:numPr>
              <w:ind w:left="284" w:hanging="284"/>
              <w:rPr>
                <w:rFonts w:eastAsia="Cambria"/>
                <w:b w:val="0"/>
              </w:rPr>
            </w:pPr>
            <w:proofErr w:type="gramStart"/>
            <w:r>
              <w:rPr>
                <w:b w:val="0"/>
                <w:bCs w:val="0"/>
              </w:rPr>
              <w:t>implementation</w:t>
            </w:r>
            <w:proofErr w:type="gramEnd"/>
            <w:r>
              <w:rPr>
                <w:b w:val="0"/>
                <w:bCs w:val="0"/>
              </w:rPr>
              <w:t xml:space="preserve"> of</w:t>
            </w:r>
            <w:r w:rsidR="00B937C1" w:rsidRPr="00007989">
              <w:rPr>
                <w:b w:val="0"/>
                <w:bCs w:val="0"/>
              </w:rPr>
              <w:t xml:space="preserve"> options to further enable internal job agility.</w:t>
            </w: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c>
          <w:tcPr>
            <w:tcW w:w="1104"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B937C1" w:rsidRPr="00B937C1" w:rsidRDefault="00B937C1" w:rsidP="00B937C1">
            <w:pPr>
              <w:pStyle w:val="TableBody"/>
              <w:cnfStyle w:val="000000100000" w:firstRow="0" w:lastRow="0" w:firstColumn="0" w:lastColumn="0" w:oddVBand="0" w:evenVBand="0" w:oddHBand="1" w:evenHBand="0" w:firstRowFirstColumn="0" w:firstRowLastColumn="0" w:lastRowFirstColumn="0" w:lastRowLastColumn="0"/>
            </w:pPr>
          </w:p>
        </w:tc>
      </w:tr>
      <w:tr w:rsidR="00B937C1" w:rsidRPr="00B937C1" w:rsidTr="006D24C2">
        <w:trPr>
          <w:trHeight w:val="606"/>
        </w:trPr>
        <w:tc>
          <w:tcPr>
            <w:cnfStyle w:val="001000000000" w:firstRow="0" w:lastRow="0" w:firstColumn="1" w:lastColumn="0" w:oddVBand="0" w:evenVBand="0" w:oddHBand="0" w:evenHBand="0" w:firstRowFirstColumn="0" w:firstRowLastColumn="0" w:lastRowFirstColumn="0" w:lastRowLastColumn="0"/>
            <w:tcW w:w="4832" w:type="dxa"/>
          </w:tcPr>
          <w:p w:rsidR="00B937C1" w:rsidRPr="00686ADE" w:rsidRDefault="00B937C1" w:rsidP="00B937C1">
            <w:pPr>
              <w:pStyle w:val="TableBody"/>
              <w:rPr>
                <w:rFonts w:eastAsia="Cambria"/>
                <w:b w:val="0"/>
              </w:rPr>
            </w:pPr>
            <w:r w:rsidRPr="00686ADE">
              <w:rPr>
                <w:rFonts w:eastAsia="Cambria"/>
                <w:b w:val="0"/>
              </w:rPr>
              <w:t>Commence migration of ICT services to support implementation of an initial phase of cloud migration in line with agency strategy, by 30 June 2017.</w:t>
            </w: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c>
          <w:tcPr>
            <w:tcW w:w="1104"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c>
          <w:tcPr>
            <w:tcW w:w="1105" w:type="dxa"/>
          </w:tcPr>
          <w:p w:rsidR="00B937C1" w:rsidRPr="00B937C1" w:rsidRDefault="00B937C1" w:rsidP="00B937C1">
            <w:pPr>
              <w:pStyle w:val="TableBody"/>
              <w:cnfStyle w:val="000000000000" w:firstRow="0" w:lastRow="0" w:firstColumn="0" w:lastColumn="0" w:oddVBand="0" w:evenVBand="0" w:oddHBand="0" w:evenHBand="0" w:firstRowFirstColumn="0" w:firstRowLastColumn="0" w:lastRowFirstColumn="0" w:lastRowLastColumn="0"/>
            </w:pPr>
          </w:p>
        </w:tc>
      </w:tr>
      <w:tr w:rsidR="00806B62" w:rsidRPr="00B937C1" w:rsidTr="0084473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806B62" w:rsidRPr="00686ADE" w:rsidRDefault="00806B62" w:rsidP="00806B62">
            <w:pPr>
              <w:pStyle w:val="TableBody"/>
              <w:rPr>
                <w:b w:val="0"/>
              </w:rPr>
            </w:pPr>
            <w:r w:rsidRPr="00686ADE">
              <w:rPr>
                <w:b w:val="0"/>
              </w:rPr>
              <w:t>Implement cloud migration strategy by 30 June 2018, principally:</w:t>
            </w:r>
          </w:p>
          <w:p w:rsidR="00806B62" w:rsidRPr="00007989" w:rsidRDefault="00806B62" w:rsidP="00806B62">
            <w:pPr>
              <w:pStyle w:val="TableBody"/>
              <w:numPr>
                <w:ilvl w:val="0"/>
                <w:numId w:val="30"/>
              </w:numPr>
              <w:ind w:left="284" w:hanging="284"/>
              <w:rPr>
                <w:b w:val="0"/>
              </w:rPr>
            </w:pPr>
            <w:r w:rsidRPr="00C11363">
              <w:rPr>
                <w:b w:val="0"/>
              </w:rPr>
              <w:t>delivery of a Software as a Service (SaaS) migration for core desktop services</w:t>
            </w:r>
          </w:p>
          <w:p w:rsidR="00806B62" w:rsidRPr="00007989" w:rsidRDefault="00806B62" w:rsidP="00806B62">
            <w:pPr>
              <w:pStyle w:val="TableBody"/>
              <w:numPr>
                <w:ilvl w:val="0"/>
                <w:numId w:val="30"/>
              </w:numPr>
              <w:ind w:left="284" w:hanging="284"/>
              <w:rPr>
                <w:b w:val="0"/>
              </w:rPr>
            </w:pPr>
            <w:r w:rsidRPr="00007989">
              <w:rPr>
                <w:b w:val="0"/>
              </w:rPr>
              <w:t>Infrastructure as a Service (</w:t>
            </w:r>
            <w:proofErr w:type="spellStart"/>
            <w:r w:rsidRPr="00007989">
              <w:rPr>
                <w:b w:val="0"/>
              </w:rPr>
              <w:t>IaaS</w:t>
            </w:r>
            <w:proofErr w:type="spellEnd"/>
            <w:r w:rsidRPr="00007989">
              <w:rPr>
                <w:b w:val="0"/>
              </w:rPr>
              <w:t>) deployment to complete the consolidation and replacement end-of-life IT infrastructure</w:t>
            </w:r>
          </w:p>
          <w:p w:rsidR="00806B62" w:rsidRPr="00686ADE" w:rsidRDefault="00806B62" w:rsidP="00806B62">
            <w:pPr>
              <w:pStyle w:val="TableBody"/>
              <w:numPr>
                <w:ilvl w:val="0"/>
                <w:numId w:val="30"/>
              </w:numPr>
              <w:ind w:left="284" w:hanging="284"/>
              <w:rPr>
                <w:b w:val="0"/>
              </w:rPr>
            </w:pPr>
            <w:r w:rsidRPr="00D21747">
              <w:rPr>
                <w:b w:val="0"/>
              </w:rPr>
              <w:t>Platform as a Service (</w:t>
            </w:r>
            <w:proofErr w:type="spellStart"/>
            <w:r w:rsidRPr="00D21747">
              <w:rPr>
                <w:b w:val="0"/>
              </w:rPr>
              <w:t>PaaS</w:t>
            </w:r>
            <w:proofErr w:type="spellEnd"/>
            <w:r w:rsidRPr="00D21747">
              <w:rPr>
                <w:b w:val="0"/>
              </w:rPr>
              <w:t>) arrangement to maintain the corporate website in the future.</w:t>
            </w:r>
          </w:p>
        </w:tc>
        <w:tc>
          <w:tcPr>
            <w:tcW w:w="1104"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4"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p>
        </w:tc>
      </w:tr>
      <w:tr w:rsidR="00806B62" w:rsidRPr="00B937C1" w:rsidTr="00844739">
        <w:trPr>
          <w:trHeight w:val="469"/>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806B62" w:rsidRPr="00686ADE" w:rsidRDefault="00806B62" w:rsidP="00844739">
            <w:pPr>
              <w:pStyle w:val="TableBody"/>
              <w:rPr>
                <w:b w:val="0"/>
              </w:rPr>
            </w:pPr>
            <w:r w:rsidRPr="00686ADE">
              <w:rPr>
                <w:b w:val="0"/>
              </w:rPr>
              <w:t>Revis</w:t>
            </w:r>
            <w:r w:rsidR="00844739">
              <w:rPr>
                <w:b w:val="0"/>
              </w:rPr>
              <w:t>e</w:t>
            </w:r>
            <w:r w:rsidRPr="00686ADE">
              <w:rPr>
                <w:b w:val="0"/>
              </w:rPr>
              <w:t xml:space="preserve"> performance measures to improve quantitative and qualitative reporting in 2017–18 performance reporting by March 2018.</w:t>
            </w:r>
          </w:p>
        </w:tc>
        <w:tc>
          <w:tcPr>
            <w:tcW w:w="1104"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p>
        </w:tc>
        <w:tc>
          <w:tcPr>
            <w:tcW w:w="1105"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4"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p>
        </w:tc>
        <w:tc>
          <w:tcPr>
            <w:tcW w:w="1105"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p>
        </w:tc>
      </w:tr>
      <w:tr w:rsidR="00806B62" w:rsidRPr="00B937C1" w:rsidTr="00844739">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806B62" w:rsidRPr="00686ADE" w:rsidRDefault="00806B62" w:rsidP="00844739">
            <w:pPr>
              <w:pStyle w:val="TableBody"/>
              <w:rPr>
                <w:b w:val="0"/>
              </w:rPr>
            </w:pPr>
            <w:r w:rsidRPr="00686ADE">
              <w:rPr>
                <w:b w:val="0"/>
              </w:rPr>
              <w:t>Implement workforce planning and capability strategy objectives is completed by 30 June 2018.</w:t>
            </w:r>
          </w:p>
        </w:tc>
        <w:tc>
          <w:tcPr>
            <w:tcW w:w="1104"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c>
          <w:tcPr>
            <w:tcW w:w="1104"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p>
        </w:tc>
        <w:tc>
          <w:tcPr>
            <w:tcW w:w="1105"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p>
        </w:tc>
      </w:tr>
      <w:tr w:rsidR="00806B62" w:rsidRPr="00B937C1" w:rsidTr="00844739">
        <w:trPr>
          <w:trHeight w:val="493"/>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806B62" w:rsidRPr="00686ADE" w:rsidRDefault="00806B62" w:rsidP="00844739">
            <w:pPr>
              <w:pStyle w:val="TableBody"/>
              <w:rPr>
                <w:rFonts w:eastAsia="Cambria"/>
                <w:b w:val="0"/>
              </w:rPr>
            </w:pPr>
            <w:r w:rsidRPr="00686ADE">
              <w:rPr>
                <w:b w:val="0"/>
              </w:rPr>
              <w:t>Implement ICT service delivery review outcomes commences 1 January 2018.</w:t>
            </w:r>
          </w:p>
        </w:tc>
        <w:tc>
          <w:tcPr>
            <w:tcW w:w="1104"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p>
        </w:tc>
        <w:tc>
          <w:tcPr>
            <w:tcW w:w="1105"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r w:rsidRPr="00B937C1">
              <w:rPr>
                <w:sz w:val="44"/>
                <w:szCs w:val="44"/>
              </w:rPr>
              <w:sym w:font="Wingdings" w:char="F0FC"/>
            </w:r>
          </w:p>
        </w:tc>
        <w:tc>
          <w:tcPr>
            <w:tcW w:w="1104"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p>
        </w:tc>
        <w:tc>
          <w:tcPr>
            <w:tcW w:w="1105" w:type="dxa"/>
            <w:shd w:val="clear" w:color="auto" w:fill="auto"/>
          </w:tcPr>
          <w:p w:rsidR="00806B62" w:rsidRPr="00B937C1" w:rsidRDefault="00806B62" w:rsidP="00806B62">
            <w:pPr>
              <w:pStyle w:val="TableBody"/>
              <w:cnfStyle w:val="000000000000" w:firstRow="0" w:lastRow="0" w:firstColumn="0" w:lastColumn="0" w:oddVBand="0" w:evenVBand="0" w:oddHBand="0" w:evenHBand="0" w:firstRowFirstColumn="0" w:firstRowLastColumn="0" w:lastRowFirstColumn="0" w:lastRowLastColumn="0"/>
            </w:pPr>
          </w:p>
        </w:tc>
      </w:tr>
      <w:tr w:rsidR="00806B62" w:rsidRPr="00B937C1" w:rsidTr="00844739">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832" w:type="dxa"/>
            <w:shd w:val="clear" w:color="auto" w:fill="F2F2F2" w:themeFill="background1" w:themeFillShade="F2"/>
          </w:tcPr>
          <w:p w:rsidR="00806B62" w:rsidRPr="00686ADE" w:rsidRDefault="00806B62" w:rsidP="00844739">
            <w:pPr>
              <w:pStyle w:val="TableBody"/>
              <w:rPr>
                <w:b w:val="0"/>
              </w:rPr>
            </w:pPr>
            <w:r w:rsidRPr="00686ADE">
              <w:rPr>
                <w:b w:val="0"/>
              </w:rPr>
              <w:lastRenderedPageBreak/>
              <w:t>Develop ACMA 2018–22 International Engagement Strategy commences 1 July 2017 to facilitate international collaboration.</w:t>
            </w:r>
          </w:p>
        </w:tc>
        <w:tc>
          <w:tcPr>
            <w:tcW w:w="1104" w:type="dxa"/>
            <w:shd w:val="clear" w:color="auto" w:fill="F2F2F2" w:themeFill="background1" w:themeFillShade="F2"/>
          </w:tcPr>
          <w:p w:rsidR="00806B62" w:rsidRPr="00686ADE" w:rsidRDefault="00806B62" w:rsidP="00806B62">
            <w:pPr>
              <w:pStyle w:val="TableBody"/>
              <w:cnfStyle w:val="000000100000" w:firstRow="0" w:lastRow="0" w:firstColumn="0" w:lastColumn="0" w:oddVBand="0" w:evenVBand="0" w:oddHBand="1" w:evenHBand="0" w:firstRowFirstColumn="0" w:firstRowLastColumn="0" w:lastRowFirstColumn="0" w:lastRowLastColumn="0"/>
              <w:rPr>
                <w:szCs w:val="20"/>
              </w:rPr>
            </w:pPr>
            <w:r w:rsidRPr="00B937C1">
              <w:rPr>
                <w:sz w:val="44"/>
                <w:szCs w:val="44"/>
              </w:rPr>
              <w:sym w:font="Wingdings" w:char="F0FC"/>
            </w:r>
          </w:p>
        </w:tc>
        <w:tc>
          <w:tcPr>
            <w:tcW w:w="1105" w:type="dxa"/>
            <w:shd w:val="clear" w:color="auto" w:fill="F2F2F2" w:themeFill="background1" w:themeFillShade="F2"/>
          </w:tcPr>
          <w:p w:rsidR="00806B62" w:rsidRPr="00686ADE" w:rsidRDefault="00806B62" w:rsidP="00806B62">
            <w:pPr>
              <w:pStyle w:val="TableBody"/>
              <w:cnfStyle w:val="000000100000" w:firstRow="0" w:lastRow="0" w:firstColumn="0" w:lastColumn="0" w:oddVBand="0" w:evenVBand="0" w:oddHBand="1" w:evenHBand="0" w:firstRowFirstColumn="0" w:firstRowLastColumn="0" w:lastRowFirstColumn="0" w:lastRowLastColumn="0"/>
              <w:rPr>
                <w:szCs w:val="20"/>
              </w:rPr>
            </w:pPr>
            <w:r w:rsidRPr="00B937C1">
              <w:rPr>
                <w:sz w:val="44"/>
                <w:szCs w:val="44"/>
              </w:rPr>
              <w:sym w:font="Wingdings" w:char="F0FC"/>
            </w:r>
          </w:p>
        </w:tc>
        <w:tc>
          <w:tcPr>
            <w:tcW w:w="1104" w:type="dxa"/>
            <w:shd w:val="clear" w:color="auto" w:fill="F2F2F2" w:themeFill="background1" w:themeFillShade="F2"/>
          </w:tcPr>
          <w:p w:rsidR="00806B62" w:rsidRPr="00686ADE" w:rsidRDefault="00806B62" w:rsidP="00806B62">
            <w:pPr>
              <w:pStyle w:val="TableBody"/>
              <w:cnfStyle w:val="000000100000" w:firstRow="0" w:lastRow="0" w:firstColumn="0" w:lastColumn="0" w:oddVBand="0" w:evenVBand="0" w:oddHBand="1" w:evenHBand="0" w:firstRowFirstColumn="0" w:firstRowLastColumn="0" w:lastRowFirstColumn="0" w:lastRowLastColumn="0"/>
              <w:rPr>
                <w:szCs w:val="20"/>
              </w:rPr>
            </w:pPr>
          </w:p>
        </w:tc>
        <w:tc>
          <w:tcPr>
            <w:tcW w:w="1105" w:type="dxa"/>
            <w:shd w:val="clear" w:color="auto" w:fill="F2F2F2" w:themeFill="background1" w:themeFillShade="F2"/>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p>
        </w:tc>
      </w:tr>
      <w:tr w:rsidR="00B42F1A" w:rsidRPr="00B937C1" w:rsidTr="00844739">
        <w:trPr>
          <w:trHeight w:val="208"/>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B42F1A" w:rsidRPr="00F04ABD" w:rsidRDefault="00B42F1A" w:rsidP="00FF7980">
            <w:pPr>
              <w:pStyle w:val="TableBody"/>
              <w:rPr>
                <w:b w:val="0"/>
              </w:rPr>
            </w:pPr>
            <w:r w:rsidRPr="00F04ABD">
              <w:rPr>
                <w:b w:val="0"/>
              </w:rPr>
              <w:t>ACMA contributes to meeting portfolio regulation reform targets</w:t>
            </w:r>
          </w:p>
        </w:tc>
        <w:tc>
          <w:tcPr>
            <w:tcW w:w="1104" w:type="dxa"/>
            <w:shd w:val="clear" w:color="auto" w:fill="auto"/>
          </w:tcPr>
          <w:p w:rsidR="00B42F1A" w:rsidRPr="00F04ABD" w:rsidRDefault="00B42F1A" w:rsidP="00806B62">
            <w:pPr>
              <w:pStyle w:val="TableBody"/>
              <w:cnfStyle w:val="000000000000" w:firstRow="0" w:lastRow="0" w:firstColumn="0" w:lastColumn="0" w:oddVBand="0" w:evenVBand="0" w:oddHBand="0" w:evenHBand="0" w:firstRowFirstColumn="0" w:firstRowLastColumn="0" w:lastRowFirstColumn="0" w:lastRowLastColumn="0"/>
              <w:rPr>
                <w:szCs w:val="20"/>
              </w:rPr>
            </w:pPr>
            <w:r w:rsidRPr="00F04ABD">
              <w:rPr>
                <w:sz w:val="44"/>
                <w:szCs w:val="44"/>
              </w:rPr>
              <w:sym w:font="Wingdings" w:char="F0FC"/>
            </w:r>
          </w:p>
        </w:tc>
        <w:tc>
          <w:tcPr>
            <w:tcW w:w="1105" w:type="dxa"/>
            <w:shd w:val="clear" w:color="auto" w:fill="auto"/>
          </w:tcPr>
          <w:p w:rsidR="00B42F1A" w:rsidRPr="00F04ABD" w:rsidRDefault="00B42F1A" w:rsidP="00806B62">
            <w:pPr>
              <w:pStyle w:val="TableBody"/>
              <w:cnfStyle w:val="000000000000" w:firstRow="0" w:lastRow="0" w:firstColumn="0" w:lastColumn="0" w:oddVBand="0" w:evenVBand="0" w:oddHBand="0" w:evenHBand="0" w:firstRowFirstColumn="0" w:firstRowLastColumn="0" w:lastRowFirstColumn="0" w:lastRowLastColumn="0"/>
              <w:rPr>
                <w:szCs w:val="20"/>
              </w:rPr>
            </w:pPr>
            <w:r w:rsidRPr="00F04ABD">
              <w:rPr>
                <w:sz w:val="44"/>
                <w:szCs w:val="44"/>
              </w:rPr>
              <w:sym w:font="Wingdings" w:char="F0FC"/>
            </w:r>
          </w:p>
        </w:tc>
        <w:tc>
          <w:tcPr>
            <w:tcW w:w="1104" w:type="dxa"/>
            <w:shd w:val="clear" w:color="auto" w:fill="auto"/>
          </w:tcPr>
          <w:p w:rsidR="00B42F1A" w:rsidRPr="00F04ABD" w:rsidRDefault="00B42F1A" w:rsidP="00806B62">
            <w:pPr>
              <w:pStyle w:val="TableBody"/>
              <w:cnfStyle w:val="000000000000" w:firstRow="0" w:lastRow="0" w:firstColumn="0" w:lastColumn="0" w:oddVBand="0" w:evenVBand="0" w:oddHBand="0" w:evenHBand="0" w:firstRowFirstColumn="0" w:firstRowLastColumn="0" w:lastRowFirstColumn="0" w:lastRowLastColumn="0"/>
              <w:rPr>
                <w:szCs w:val="20"/>
              </w:rPr>
            </w:pPr>
            <w:r w:rsidRPr="00F04ABD">
              <w:rPr>
                <w:sz w:val="44"/>
                <w:szCs w:val="44"/>
              </w:rPr>
              <w:sym w:font="Wingdings" w:char="F0FC"/>
            </w:r>
          </w:p>
        </w:tc>
        <w:tc>
          <w:tcPr>
            <w:tcW w:w="1105" w:type="dxa"/>
            <w:shd w:val="clear" w:color="auto" w:fill="auto"/>
          </w:tcPr>
          <w:p w:rsidR="00B42F1A" w:rsidRPr="00B937C1" w:rsidRDefault="00B42F1A" w:rsidP="00806B62">
            <w:pPr>
              <w:pStyle w:val="TableBody"/>
              <w:cnfStyle w:val="000000000000" w:firstRow="0" w:lastRow="0" w:firstColumn="0" w:lastColumn="0" w:oddVBand="0" w:evenVBand="0" w:oddHBand="0" w:evenHBand="0" w:firstRowFirstColumn="0" w:firstRowLastColumn="0" w:lastRowFirstColumn="0" w:lastRowLastColumn="0"/>
              <w:rPr>
                <w:sz w:val="44"/>
                <w:szCs w:val="44"/>
              </w:rPr>
            </w:pPr>
          </w:p>
        </w:tc>
      </w:tr>
      <w:tr w:rsidR="00806B62" w:rsidRPr="00B937C1" w:rsidTr="0084473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832" w:type="dxa"/>
            <w:shd w:val="clear" w:color="auto" w:fill="auto"/>
          </w:tcPr>
          <w:p w:rsidR="00806B62" w:rsidRPr="00686ADE" w:rsidRDefault="00FF7980" w:rsidP="00FF7980">
            <w:pPr>
              <w:pStyle w:val="TableBody"/>
              <w:rPr>
                <w:b w:val="0"/>
              </w:rPr>
            </w:pPr>
            <w:r>
              <w:rPr>
                <w:b w:val="0"/>
              </w:rPr>
              <w:t xml:space="preserve">Implement </w:t>
            </w:r>
            <w:r w:rsidR="00806B62" w:rsidRPr="00686ADE">
              <w:rPr>
                <w:b w:val="0"/>
              </w:rPr>
              <w:t>100</w:t>
            </w:r>
            <w:r w:rsidR="00806B62">
              <w:rPr>
                <w:b w:val="0"/>
              </w:rPr>
              <w:t>%</w:t>
            </w:r>
            <w:r w:rsidR="00806B62" w:rsidRPr="00686ADE">
              <w:rPr>
                <w:b w:val="0"/>
              </w:rPr>
              <w:t xml:space="preserve"> </w:t>
            </w:r>
            <w:r>
              <w:rPr>
                <w:b w:val="0"/>
              </w:rPr>
              <w:t xml:space="preserve">of </w:t>
            </w:r>
            <w:r w:rsidR="00806B62" w:rsidRPr="00686ADE">
              <w:rPr>
                <w:b w:val="0"/>
              </w:rPr>
              <w:t>ACMA-wide CRM system.</w:t>
            </w:r>
          </w:p>
        </w:tc>
        <w:tc>
          <w:tcPr>
            <w:tcW w:w="1104" w:type="dxa"/>
            <w:shd w:val="clear" w:color="auto" w:fill="auto"/>
          </w:tcPr>
          <w:p w:rsidR="00806B62" w:rsidRPr="00686ADE" w:rsidRDefault="00806B62" w:rsidP="00806B62">
            <w:pPr>
              <w:pStyle w:val="TableBody"/>
              <w:cnfStyle w:val="000000100000" w:firstRow="0" w:lastRow="0" w:firstColumn="0" w:lastColumn="0" w:oddVBand="0" w:evenVBand="0" w:oddHBand="1" w:evenHBand="0" w:firstRowFirstColumn="0" w:firstRowLastColumn="0" w:lastRowFirstColumn="0" w:lastRowLastColumn="0"/>
              <w:rPr>
                <w:szCs w:val="20"/>
              </w:rPr>
            </w:pPr>
          </w:p>
        </w:tc>
        <w:tc>
          <w:tcPr>
            <w:tcW w:w="1105" w:type="dxa"/>
            <w:shd w:val="clear" w:color="auto" w:fill="auto"/>
          </w:tcPr>
          <w:p w:rsidR="00806B62" w:rsidRPr="00686ADE" w:rsidRDefault="00806B62" w:rsidP="00806B62">
            <w:pPr>
              <w:pStyle w:val="TableBody"/>
              <w:cnfStyle w:val="000000100000" w:firstRow="0" w:lastRow="0" w:firstColumn="0" w:lastColumn="0" w:oddVBand="0" w:evenVBand="0" w:oddHBand="1" w:evenHBand="0" w:firstRowFirstColumn="0" w:firstRowLastColumn="0" w:lastRowFirstColumn="0" w:lastRowLastColumn="0"/>
              <w:rPr>
                <w:szCs w:val="20"/>
              </w:rPr>
            </w:pPr>
          </w:p>
        </w:tc>
        <w:tc>
          <w:tcPr>
            <w:tcW w:w="1104" w:type="dxa"/>
            <w:shd w:val="clear" w:color="auto" w:fill="auto"/>
          </w:tcPr>
          <w:p w:rsidR="00806B62" w:rsidRPr="00686ADE" w:rsidRDefault="00806B62" w:rsidP="00806B62">
            <w:pPr>
              <w:pStyle w:val="TableBody"/>
              <w:cnfStyle w:val="000000100000" w:firstRow="0" w:lastRow="0" w:firstColumn="0" w:lastColumn="0" w:oddVBand="0" w:evenVBand="0" w:oddHBand="1" w:evenHBand="0" w:firstRowFirstColumn="0" w:firstRowLastColumn="0" w:lastRowFirstColumn="0" w:lastRowLastColumn="0"/>
              <w:rPr>
                <w:szCs w:val="20"/>
              </w:rPr>
            </w:pPr>
          </w:p>
        </w:tc>
        <w:tc>
          <w:tcPr>
            <w:tcW w:w="1105" w:type="dxa"/>
            <w:shd w:val="clear" w:color="auto" w:fill="auto"/>
          </w:tcPr>
          <w:p w:rsidR="00806B62" w:rsidRPr="00B937C1" w:rsidRDefault="00806B62" w:rsidP="00806B62">
            <w:pPr>
              <w:pStyle w:val="TableBody"/>
              <w:cnfStyle w:val="000000100000" w:firstRow="0" w:lastRow="0" w:firstColumn="0" w:lastColumn="0" w:oddVBand="0" w:evenVBand="0" w:oddHBand="1" w:evenHBand="0" w:firstRowFirstColumn="0" w:firstRowLastColumn="0" w:lastRowFirstColumn="0" w:lastRowLastColumn="0"/>
            </w:pPr>
            <w:r w:rsidRPr="00B937C1">
              <w:rPr>
                <w:sz w:val="44"/>
                <w:szCs w:val="44"/>
              </w:rPr>
              <w:sym w:font="Wingdings" w:char="F0FC"/>
            </w:r>
          </w:p>
        </w:tc>
      </w:tr>
    </w:tbl>
    <w:p w:rsidR="00BA35F9" w:rsidRDefault="00BA35F9" w:rsidP="006D24C2">
      <w:pPr>
        <w:pStyle w:val="ACMASpaceaftertable"/>
      </w:pPr>
    </w:p>
    <w:p w:rsidR="00795A80" w:rsidRPr="00795A80" w:rsidRDefault="00795A80" w:rsidP="00795A80">
      <w:pPr>
        <w:pStyle w:val="Heading1"/>
      </w:pPr>
      <w:bookmarkStart w:id="54" w:name="_Toc453243390"/>
      <w:bookmarkStart w:id="55" w:name="_Toc453243893"/>
      <w:bookmarkStart w:id="56" w:name="_Toc453828800"/>
      <w:bookmarkStart w:id="57" w:name="_Toc457898854"/>
      <w:bookmarkStart w:id="58" w:name="_Toc422921387"/>
      <w:r w:rsidRPr="00795A80">
        <w:lastRenderedPageBreak/>
        <w:t>Capability</w:t>
      </w:r>
      <w:bookmarkEnd w:id="54"/>
      <w:bookmarkEnd w:id="55"/>
      <w:bookmarkEnd w:id="56"/>
      <w:bookmarkEnd w:id="57"/>
    </w:p>
    <w:p w:rsidR="00795A80" w:rsidRPr="00795A80" w:rsidRDefault="00795A80" w:rsidP="00795A80">
      <w:pPr>
        <w:pStyle w:val="Heading2"/>
      </w:pPr>
      <w:bookmarkStart w:id="59" w:name="_Toc453243391"/>
      <w:bookmarkStart w:id="60" w:name="_Toc453243894"/>
      <w:bookmarkStart w:id="61" w:name="_Toc453828801"/>
      <w:bookmarkStart w:id="62" w:name="_Toc457898855"/>
      <w:r w:rsidRPr="00795A80">
        <w:t>Workforce planning</w:t>
      </w:r>
      <w:bookmarkEnd w:id="59"/>
      <w:bookmarkEnd w:id="60"/>
      <w:bookmarkEnd w:id="61"/>
      <w:bookmarkEnd w:id="62"/>
    </w:p>
    <w:p w:rsidR="00795A80" w:rsidRPr="00795A80" w:rsidRDefault="00795A80" w:rsidP="00795A80">
      <w:pPr>
        <w:rPr>
          <w:rFonts w:eastAsiaTheme="minorHAnsi"/>
        </w:rPr>
      </w:pPr>
      <w:r w:rsidRPr="00795A80">
        <w:rPr>
          <w:rFonts w:eastAsiaTheme="minorHAnsi"/>
        </w:rPr>
        <w:t xml:space="preserve">The ACMA’s workforce planning </w:t>
      </w:r>
      <w:r w:rsidR="00C15DA3">
        <w:rPr>
          <w:rFonts w:eastAsiaTheme="minorHAnsi"/>
        </w:rPr>
        <w:t>outlines</w:t>
      </w:r>
      <w:r w:rsidRPr="00795A80">
        <w:rPr>
          <w:rFonts w:eastAsiaTheme="minorHAnsi"/>
        </w:rPr>
        <w:t xml:space="preserve"> strategies to ensure that the ACMA workforce has the capabilities and skill sets required to deliver against the agency’s mandate, within the context of a changing environment and an expected decline in appropriation funding.</w:t>
      </w:r>
    </w:p>
    <w:p w:rsidR="00795A80" w:rsidRPr="00795A80" w:rsidRDefault="00795A80" w:rsidP="00795A80">
      <w:pPr>
        <w:rPr>
          <w:rFonts w:eastAsiaTheme="minorHAnsi"/>
        </w:rPr>
      </w:pPr>
      <w:r w:rsidRPr="00795A80">
        <w:rPr>
          <w:rFonts w:eastAsiaTheme="minorHAnsi"/>
        </w:rPr>
        <w:t>The ACMA faces a challenging operating environment. Most notably, it faces a</w:t>
      </w:r>
      <w:r w:rsidR="00C15DA3">
        <w:rPr>
          <w:rFonts w:eastAsiaTheme="minorHAnsi"/>
        </w:rPr>
        <w:t>n increasingly</w:t>
      </w:r>
      <w:r w:rsidRPr="00795A80">
        <w:rPr>
          <w:rFonts w:eastAsiaTheme="minorHAnsi"/>
        </w:rPr>
        <w:t xml:space="preserve"> constrained budget outlook, as well as increasing stakeholder scrutiny and expectation as digital technologies drive significant shifts in the media and communications sector. </w:t>
      </w:r>
    </w:p>
    <w:p w:rsidR="00795A80" w:rsidRPr="00795A80" w:rsidRDefault="00795A80" w:rsidP="00795A80">
      <w:pPr>
        <w:rPr>
          <w:rFonts w:eastAsiaTheme="minorHAnsi"/>
        </w:rPr>
      </w:pPr>
      <w:r w:rsidRPr="00795A80">
        <w:rPr>
          <w:rFonts w:eastAsiaTheme="minorHAnsi"/>
        </w:rPr>
        <w:t>Workforce analysis highlights many workforce strengths for the agency. These include a highly skilled and professional workforce, good gender balance, and an average age of 44</w:t>
      </w:r>
      <w:r w:rsidR="00F17DC5">
        <w:rPr>
          <w:rFonts w:eastAsiaTheme="minorHAnsi"/>
        </w:rPr>
        <w:t xml:space="preserve">, </w:t>
      </w:r>
      <w:r w:rsidRPr="00795A80">
        <w:rPr>
          <w:rFonts w:eastAsiaTheme="minorHAnsi"/>
        </w:rPr>
        <w:t>which means that the Australia-wide trend of an ageing workforce will not have a broad immediate impact on our agency staff numbers, or cause significant loss of corporate knowledge</w:t>
      </w:r>
      <w:r w:rsidR="00C15DA3">
        <w:rPr>
          <w:rFonts w:eastAsiaTheme="minorHAnsi"/>
        </w:rPr>
        <w:t xml:space="preserve"> in the short to medium term</w:t>
      </w:r>
      <w:r w:rsidRPr="00795A80">
        <w:rPr>
          <w:rFonts w:eastAsiaTheme="minorHAnsi"/>
        </w:rPr>
        <w:t xml:space="preserve">. Including APS service, </w:t>
      </w:r>
      <w:r>
        <w:rPr>
          <w:rFonts w:eastAsiaTheme="minorHAnsi"/>
        </w:rPr>
        <w:t>the ACMA’s</w:t>
      </w:r>
      <w:r w:rsidRPr="00795A80">
        <w:rPr>
          <w:rFonts w:eastAsiaTheme="minorHAnsi"/>
        </w:rPr>
        <w:t xml:space="preserve"> staff tenure is so</w:t>
      </w:r>
      <w:r w:rsidR="00C15DA3">
        <w:rPr>
          <w:rFonts w:eastAsiaTheme="minorHAnsi"/>
        </w:rPr>
        <w:t>und</w:t>
      </w:r>
      <w:r w:rsidRPr="00795A80">
        <w:rPr>
          <w:rFonts w:eastAsiaTheme="minorHAnsi"/>
        </w:rPr>
        <w:t>, with an average of seven years and an average overall turnover rate of 10.3 per cent.</w:t>
      </w:r>
    </w:p>
    <w:p w:rsidR="00795A80" w:rsidRPr="00795A80" w:rsidRDefault="00795A80" w:rsidP="006D24C2">
      <w:pPr>
        <w:spacing w:after="80"/>
      </w:pPr>
      <w:r w:rsidRPr="00795A80">
        <w:rPr>
          <w:rFonts w:eastAsiaTheme="minorHAnsi"/>
        </w:rPr>
        <w:t xml:space="preserve">Workforce planning enables </w:t>
      </w:r>
      <w:r>
        <w:rPr>
          <w:rFonts w:eastAsiaTheme="minorHAnsi"/>
        </w:rPr>
        <w:t>the ACMA</w:t>
      </w:r>
      <w:r w:rsidRPr="00795A80">
        <w:rPr>
          <w:rFonts w:eastAsiaTheme="minorHAnsi"/>
        </w:rPr>
        <w:t xml:space="preserve"> to determine which job families and job roles may require additional attraction and retention strategies to meet our business priorities. Workforce analysis helps with this identification by considering the impact of a range of factors on job families and job roles, and enabling the identification of business-critical roles (roles where a vacancy will have a significant tangible impact on the ability of the agency to meet its priorities). The factors considered include</w:t>
      </w:r>
      <w:r w:rsidR="00F17DC5">
        <w:rPr>
          <w:rFonts w:eastAsiaTheme="minorHAnsi"/>
        </w:rPr>
        <w:t xml:space="preserve"> the</w:t>
      </w:r>
      <w:r w:rsidRPr="00795A80">
        <w:rPr>
          <w:rFonts w:eastAsiaTheme="minorHAnsi"/>
        </w:rPr>
        <w:t xml:space="preserve">: </w:t>
      </w:r>
    </w:p>
    <w:p w:rsidR="00795A80" w:rsidRPr="00007989" w:rsidRDefault="00795A80" w:rsidP="00C11363">
      <w:pPr>
        <w:pStyle w:val="ListBullet"/>
      </w:pPr>
      <w:r w:rsidRPr="00C11363">
        <w:t>number of positions in the agency (internal supply)</w:t>
      </w:r>
    </w:p>
    <w:p w:rsidR="00795A80" w:rsidRPr="00007989" w:rsidRDefault="00795A80" w:rsidP="00007989">
      <w:pPr>
        <w:pStyle w:val="ListBullet"/>
      </w:pPr>
      <w:r w:rsidRPr="00007989">
        <w:t xml:space="preserve">difficulty to recruit (external supply) </w:t>
      </w:r>
    </w:p>
    <w:p w:rsidR="00795A80" w:rsidRPr="00007989" w:rsidRDefault="00795A80" w:rsidP="00007989">
      <w:pPr>
        <w:pStyle w:val="ListBullet"/>
      </w:pPr>
      <w:r w:rsidRPr="00007989">
        <w:t xml:space="preserve">time it takes to achieve full competency (level of specialisation) </w:t>
      </w:r>
    </w:p>
    <w:p w:rsidR="00795A80" w:rsidRPr="00795A80" w:rsidRDefault="00795A80" w:rsidP="00007989">
      <w:pPr>
        <w:pStyle w:val="ListBullet"/>
      </w:pPr>
      <w:r w:rsidRPr="00D21747">
        <w:t>voluntary turnover</w:t>
      </w:r>
      <w:r w:rsidRPr="00795A80">
        <w:t xml:space="preserve"> </w:t>
      </w:r>
    </w:p>
    <w:p w:rsidR="00795A80" w:rsidRPr="00795A80" w:rsidRDefault="00795A80" w:rsidP="006D24C2">
      <w:pPr>
        <w:pStyle w:val="ListBulletLast"/>
      </w:pPr>
      <w:proofErr w:type="gramStart"/>
      <w:r w:rsidRPr="00795A80">
        <w:t>age</w:t>
      </w:r>
      <w:proofErr w:type="gramEnd"/>
      <w:r w:rsidRPr="00795A80">
        <w:t xml:space="preserve"> demographic, including number and percentage of staff aged 55 and over. </w:t>
      </w:r>
    </w:p>
    <w:p w:rsidR="00795A80" w:rsidRPr="00795A80" w:rsidRDefault="00795A80" w:rsidP="00795A80">
      <w:r>
        <w:t xml:space="preserve">The ACMA has </w:t>
      </w:r>
      <w:r w:rsidRPr="00795A80">
        <w:t xml:space="preserve">also taken a strategic view of </w:t>
      </w:r>
      <w:r>
        <w:t>its</w:t>
      </w:r>
      <w:r w:rsidRPr="00795A80">
        <w:t xml:space="preserve"> learning and development needs with the implementation of the ACMA’s Learning and Development Strategy 2015–18, which will help ensure that the agency focuses on those capabilities considered strategically important. The strategy aims to establish a learning culture to facilitate personal career and capability development. It aims to ensure that learning and development activities are relevant and practical, both to meet team business outcomes and match to individual requirements. </w:t>
      </w:r>
    </w:p>
    <w:p w:rsidR="00795A80" w:rsidRPr="00795A80" w:rsidRDefault="00795A80" w:rsidP="00795A80">
      <w:r w:rsidRPr="00795A80">
        <w:t xml:space="preserve">During this reporting period, </w:t>
      </w:r>
      <w:r>
        <w:t xml:space="preserve">the ACMA </w:t>
      </w:r>
      <w:r w:rsidRPr="00795A80">
        <w:t xml:space="preserve">will continue workforce planning across business units to ensure that </w:t>
      </w:r>
      <w:r>
        <w:t xml:space="preserve">it focuses its </w:t>
      </w:r>
      <w:r w:rsidRPr="00795A80">
        <w:t xml:space="preserve">efforts on maintaining </w:t>
      </w:r>
      <w:r w:rsidR="00C15DA3">
        <w:t xml:space="preserve">the </w:t>
      </w:r>
      <w:r w:rsidRPr="00795A80">
        <w:t>capability</w:t>
      </w:r>
      <w:r w:rsidR="00C15DA3" w:rsidRPr="00C15DA3">
        <w:t xml:space="preserve"> </w:t>
      </w:r>
      <w:r w:rsidR="00C15DA3" w:rsidRPr="00795A80">
        <w:t xml:space="preserve">to meet </w:t>
      </w:r>
      <w:r w:rsidR="00C15DA3">
        <w:t>its</w:t>
      </w:r>
      <w:r w:rsidR="00C15DA3" w:rsidRPr="00795A80">
        <w:t xml:space="preserve"> responsibilities</w:t>
      </w:r>
      <w:r w:rsidRPr="00795A80">
        <w:t xml:space="preserve"> in an affordable manner. </w:t>
      </w:r>
    </w:p>
    <w:p w:rsidR="00795A80" w:rsidRPr="00795A80" w:rsidRDefault="00795A80" w:rsidP="006D24C2">
      <w:pPr>
        <w:spacing w:after="80"/>
      </w:pPr>
      <w:r w:rsidRPr="00795A80">
        <w:t>The focus of our workforce planning during the reporting period will be on two key areas:</w:t>
      </w:r>
    </w:p>
    <w:p w:rsidR="00795A80" w:rsidRPr="00795A80" w:rsidRDefault="00795A80" w:rsidP="00795A80">
      <w:pPr>
        <w:pStyle w:val="ListNumber"/>
        <w:numPr>
          <w:ilvl w:val="0"/>
          <w:numId w:val="28"/>
        </w:numPr>
      </w:pPr>
      <w:r w:rsidRPr="00795A80">
        <w:rPr>
          <w:b/>
        </w:rPr>
        <w:t>Workforce affordability and agility</w:t>
      </w:r>
      <w:r w:rsidRPr="00795A80">
        <w:t xml:space="preserve">—so </w:t>
      </w:r>
      <w:r w:rsidR="00085A9D">
        <w:t>the ACMA has</w:t>
      </w:r>
      <w:r w:rsidRPr="00795A80">
        <w:t xml:space="preserve"> the right numbers of suitably skilled and affordable staff, and can use them flexibly in response to changing priorities or circumstances.  </w:t>
      </w:r>
    </w:p>
    <w:p w:rsidR="00795A80" w:rsidRPr="00795A80" w:rsidRDefault="00F17DC5" w:rsidP="00795A80">
      <w:pPr>
        <w:pStyle w:val="ListBullet2"/>
      </w:pPr>
      <w:r>
        <w:t>A</w:t>
      </w:r>
      <w:r w:rsidR="00795A80" w:rsidRPr="00795A80">
        <w:t xml:space="preserve">s part of the three-year budget process and discussions around longer-term resourcing of the agency's strategic priorities, develop more granular </w:t>
      </w:r>
      <w:r w:rsidR="00795A80" w:rsidRPr="00795A80">
        <w:lastRenderedPageBreak/>
        <w:t>estimates of likely affordable staffing numbers by division, by strategic priority</w:t>
      </w:r>
      <w:r w:rsidR="00795A80">
        <w:t>, and by job family and job role</w:t>
      </w:r>
      <w:r>
        <w:t>.</w:t>
      </w:r>
    </w:p>
    <w:p w:rsidR="00795A80" w:rsidRPr="00795A80" w:rsidRDefault="00F17DC5" w:rsidP="00795A80">
      <w:pPr>
        <w:pStyle w:val="ListBullet2"/>
      </w:pPr>
      <w:r>
        <w:t>U</w:t>
      </w:r>
      <w:r w:rsidR="00795A80" w:rsidRPr="00795A80">
        <w:t>se these more granular estimates to continue to use and refine the agency's agility processes to manage affordable and appropriately-</w:t>
      </w:r>
      <w:r w:rsidR="00795A80">
        <w:t>skilled staffing levels</w:t>
      </w:r>
      <w:r>
        <w:t>.</w:t>
      </w:r>
    </w:p>
    <w:p w:rsidR="00795A80" w:rsidRPr="00795A80" w:rsidRDefault="00F17DC5" w:rsidP="00795A80">
      <w:pPr>
        <w:pStyle w:val="ListBullet2"/>
      </w:pPr>
      <w:r>
        <w:t>I</w:t>
      </w:r>
      <w:r w:rsidR="00795A80" w:rsidRPr="00795A80">
        <w:t xml:space="preserve">mplement options to further enable internal job agility and to manage agency-wide 'surge' or 'swing' capacity. This includes the implementation of the </w:t>
      </w:r>
      <w:r>
        <w:t>t</w:t>
      </w:r>
      <w:r w:rsidR="00795A80" w:rsidRPr="00795A80">
        <w:t xml:space="preserve">alent </w:t>
      </w:r>
      <w:r>
        <w:t>p</w:t>
      </w:r>
      <w:r w:rsidR="00795A80" w:rsidRPr="00795A80">
        <w:t xml:space="preserve">ool, whereby staff can register their interest in internal project work, and </w:t>
      </w:r>
      <w:r>
        <w:t>‘</w:t>
      </w:r>
      <w:r w:rsidR="00795A80" w:rsidRPr="00795A80">
        <w:t>stretch</w:t>
      </w:r>
      <w:r>
        <w:t>’</w:t>
      </w:r>
      <w:r w:rsidR="00795A80" w:rsidRPr="00795A80">
        <w:t xml:space="preserve"> opportunities to enable them to gain new skills as a development option.</w:t>
      </w:r>
    </w:p>
    <w:p w:rsidR="00795A80" w:rsidRDefault="00795A80" w:rsidP="00030495">
      <w:pPr>
        <w:pStyle w:val="ListNumber"/>
        <w:numPr>
          <w:ilvl w:val="0"/>
          <w:numId w:val="28"/>
        </w:numPr>
      </w:pPr>
      <w:r w:rsidRPr="00795A80">
        <w:rPr>
          <w:b/>
        </w:rPr>
        <w:t>Agency capability</w:t>
      </w:r>
      <w:r w:rsidRPr="00795A80">
        <w:t xml:space="preserve">—to </w:t>
      </w:r>
      <w:r w:rsidR="00C15DA3">
        <w:t xml:space="preserve">continue to </w:t>
      </w:r>
      <w:r w:rsidRPr="00795A80">
        <w:t xml:space="preserve">build agency-wide capability so that </w:t>
      </w:r>
      <w:r>
        <w:t xml:space="preserve">the ACMA’s </w:t>
      </w:r>
      <w:r w:rsidRPr="00795A80">
        <w:t>staff have the skills to deal with the agency’s rapidly changing, challenging and sometimes uncertain environment.</w:t>
      </w:r>
      <w:r>
        <w:t xml:space="preserve"> This will include continued implementation of:</w:t>
      </w:r>
    </w:p>
    <w:p w:rsidR="00795A80" w:rsidRPr="00795A80" w:rsidRDefault="00795A80" w:rsidP="00795A80">
      <w:pPr>
        <w:pStyle w:val="ListBullet2"/>
      </w:pPr>
      <w:r w:rsidRPr="00795A80">
        <w:t>strategies to build agency capability in t</w:t>
      </w:r>
      <w:r>
        <w:t>hose areas considered critical</w:t>
      </w:r>
    </w:p>
    <w:p w:rsidR="00795A80" w:rsidRPr="00795A80" w:rsidRDefault="00795A80" w:rsidP="00795A80">
      <w:pPr>
        <w:pStyle w:val="ListBullet2"/>
      </w:pPr>
      <w:proofErr w:type="gramStart"/>
      <w:r w:rsidRPr="00795A80">
        <w:t>the</w:t>
      </w:r>
      <w:proofErr w:type="gramEnd"/>
      <w:r w:rsidRPr="00795A80">
        <w:t xml:space="preserve"> ACMA Learning and Development Strategy 2015–</w:t>
      </w:r>
      <w:r w:rsidR="00F17DC5" w:rsidRPr="00795A80">
        <w:t>18</w:t>
      </w:r>
      <w:r w:rsidR="00F17DC5">
        <w:t xml:space="preserve">, which will </w:t>
      </w:r>
      <w:r w:rsidRPr="00795A80">
        <w:t>focus activity and resources to provide quality</w:t>
      </w:r>
      <w:r w:rsidR="00F17DC5">
        <w:t xml:space="preserve">, </w:t>
      </w:r>
      <w:r w:rsidRPr="00795A80">
        <w:t xml:space="preserve">relevant, ‘just-in-time’ learning aligned to performance outcomes. </w:t>
      </w:r>
    </w:p>
    <w:p w:rsidR="00795A80" w:rsidRPr="00795A80" w:rsidRDefault="00795A80" w:rsidP="00795A80">
      <w:pPr>
        <w:pStyle w:val="Heading2"/>
      </w:pPr>
      <w:bookmarkStart w:id="63" w:name="_Toc453243392"/>
      <w:bookmarkStart w:id="64" w:name="_Toc453243895"/>
      <w:bookmarkStart w:id="65" w:name="_Toc453828802"/>
      <w:bookmarkStart w:id="66" w:name="_Toc457898856"/>
      <w:r w:rsidRPr="00795A80">
        <w:t>Capital investment strategy</w:t>
      </w:r>
      <w:bookmarkEnd w:id="63"/>
      <w:bookmarkEnd w:id="64"/>
      <w:bookmarkEnd w:id="65"/>
      <w:bookmarkEnd w:id="66"/>
    </w:p>
    <w:p w:rsidR="00795A80" w:rsidRPr="00795A80" w:rsidRDefault="00795A80" w:rsidP="00795A80">
      <w:pPr>
        <w:rPr>
          <w:rFonts w:eastAsiaTheme="minorHAnsi"/>
        </w:rPr>
      </w:pPr>
      <w:r w:rsidRPr="00795A80">
        <w:rPr>
          <w:rFonts w:eastAsiaTheme="minorHAnsi"/>
        </w:rPr>
        <w:t>The ACMA’s capital investment program covers ICT, technical equipment and the property portfolios. The ACMA considers all capital investment decisions on a return on investment and continuation of capacity basis.</w:t>
      </w:r>
    </w:p>
    <w:p w:rsidR="00795A80" w:rsidRPr="00795A80" w:rsidRDefault="00795A80" w:rsidP="00795A80">
      <w:pPr>
        <w:rPr>
          <w:rFonts w:eastAsiaTheme="minorHAnsi"/>
        </w:rPr>
      </w:pPr>
      <w:r w:rsidRPr="00795A80">
        <w:rPr>
          <w:rFonts w:eastAsiaTheme="minorHAnsi"/>
        </w:rPr>
        <w:t>The ACMA’s ICT capital investment strategy is designed to leverage previous investment in technologies that the agency has already successfully deployed, rather than purchasing new. The focus is on improving how we use technology and data already available within the agency to improve processes and ensure maximum value from our existing investment.</w:t>
      </w:r>
    </w:p>
    <w:p w:rsidR="00795A80" w:rsidRPr="00795A80" w:rsidRDefault="00795A80" w:rsidP="006D24C2">
      <w:pPr>
        <w:spacing w:after="80"/>
        <w:rPr>
          <w:rFonts w:eastAsiaTheme="minorHAnsi"/>
        </w:rPr>
      </w:pPr>
      <w:r w:rsidRPr="00795A80">
        <w:rPr>
          <w:rFonts w:eastAsiaTheme="minorHAnsi"/>
        </w:rPr>
        <w:t>During the reporting period, the ACMA is planning to commence the migration of a number of systems that are identified as priorities for cloud migration</w:t>
      </w:r>
      <w:r w:rsidR="00F17DC5">
        <w:rPr>
          <w:rFonts w:eastAsiaTheme="minorHAnsi"/>
        </w:rPr>
        <w:t>. This is</w:t>
      </w:r>
      <w:r w:rsidR="00F17DC5" w:rsidRPr="00795A80">
        <w:rPr>
          <w:rFonts w:eastAsiaTheme="minorHAnsi"/>
        </w:rPr>
        <w:t xml:space="preserve"> </w:t>
      </w:r>
      <w:r w:rsidRPr="00795A80">
        <w:rPr>
          <w:rFonts w:eastAsiaTheme="minorHAnsi"/>
        </w:rPr>
        <w:t>based on key business drivers, including:</w:t>
      </w:r>
    </w:p>
    <w:p w:rsidR="00795A80" w:rsidRPr="00795A80" w:rsidRDefault="00795A80" w:rsidP="00795A80">
      <w:pPr>
        <w:pStyle w:val="ListBullet"/>
        <w:rPr>
          <w:rFonts w:eastAsiaTheme="minorHAnsi"/>
        </w:rPr>
      </w:pPr>
      <w:r w:rsidRPr="00795A80">
        <w:rPr>
          <w:rFonts w:eastAsiaTheme="minorHAnsi"/>
        </w:rPr>
        <w:t>the need to break the ICT infrastructure reinvestment cycle</w:t>
      </w:r>
      <w:r w:rsidR="00F17DC5">
        <w:rPr>
          <w:rFonts w:eastAsiaTheme="minorHAnsi"/>
        </w:rPr>
        <w:t>—</w:t>
      </w:r>
      <w:r w:rsidRPr="00795A80">
        <w:rPr>
          <w:rFonts w:eastAsiaTheme="minorHAnsi"/>
        </w:rPr>
        <w:t xml:space="preserve">the ongoing process of purchasing and maintaining physical hardware onsite and then refreshing this each time it reaches the end of its useful life </w:t>
      </w:r>
    </w:p>
    <w:p w:rsidR="00795A80" w:rsidRPr="00795A80" w:rsidRDefault="00795A80" w:rsidP="00795A80">
      <w:pPr>
        <w:pStyle w:val="ListBullet"/>
        <w:rPr>
          <w:rFonts w:eastAsiaTheme="minorHAnsi"/>
        </w:rPr>
      </w:pPr>
      <w:r w:rsidRPr="00795A80">
        <w:rPr>
          <w:rFonts w:eastAsiaTheme="minorHAnsi"/>
        </w:rPr>
        <w:t>the requirement for continuous improvement of our disaster recovery arrangements, and to achieve this on a cost-effective basis</w:t>
      </w:r>
    </w:p>
    <w:p w:rsidR="00795A80" w:rsidRPr="00795A80" w:rsidRDefault="00795A80" w:rsidP="006D24C2">
      <w:pPr>
        <w:pStyle w:val="ListBulletLast"/>
        <w:rPr>
          <w:rFonts w:eastAsiaTheme="minorHAnsi"/>
        </w:rPr>
      </w:pPr>
      <w:proofErr w:type="gramStart"/>
      <w:r w:rsidRPr="00795A80">
        <w:rPr>
          <w:rFonts w:eastAsiaTheme="minorHAnsi"/>
        </w:rPr>
        <w:t>a</w:t>
      </w:r>
      <w:proofErr w:type="gramEnd"/>
      <w:r w:rsidRPr="00795A80">
        <w:rPr>
          <w:rFonts w:eastAsiaTheme="minorHAnsi"/>
        </w:rPr>
        <w:t xml:space="preserve"> ‘final push’ to complete system consolidation work</w:t>
      </w:r>
      <w:r w:rsidR="00F17DC5">
        <w:rPr>
          <w:rFonts w:eastAsiaTheme="minorHAnsi"/>
        </w:rPr>
        <w:t>,</w:t>
      </w:r>
      <w:r w:rsidRPr="00795A80">
        <w:rPr>
          <w:rFonts w:eastAsiaTheme="minorHAnsi"/>
        </w:rPr>
        <w:t xml:space="preserve"> including upgrading core systems and retiring legacy applications as required.</w:t>
      </w:r>
    </w:p>
    <w:p w:rsidR="00795A80" w:rsidRPr="00795A80" w:rsidRDefault="00795A80" w:rsidP="00795A80">
      <w:pPr>
        <w:rPr>
          <w:rFonts w:eastAsiaTheme="minorHAnsi"/>
        </w:rPr>
      </w:pPr>
      <w:r w:rsidRPr="00795A80">
        <w:rPr>
          <w:rFonts w:eastAsiaTheme="minorHAnsi"/>
        </w:rPr>
        <w:t>The migration to cloud-based computing is also expected to deliver benefits for workforce planning, mobility</w:t>
      </w:r>
      <w:r w:rsidR="00F17DC5">
        <w:rPr>
          <w:rFonts w:eastAsiaTheme="minorHAnsi"/>
        </w:rPr>
        <w:t>,</w:t>
      </w:r>
      <w:r w:rsidRPr="00795A80">
        <w:rPr>
          <w:rFonts w:eastAsiaTheme="minorHAnsi"/>
        </w:rPr>
        <w:t xml:space="preserve"> and overhead and cost management.</w:t>
      </w:r>
    </w:p>
    <w:p w:rsidR="00795A80" w:rsidRDefault="00795A80" w:rsidP="00795A80">
      <w:pPr>
        <w:rPr>
          <w:rFonts w:eastAsiaTheme="minorHAnsi"/>
        </w:rPr>
      </w:pPr>
      <w:r w:rsidRPr="00795A80">
        <w:rPr>
          <w:rFonts w:eastAsiaTheme="minorHAnsi"/>
        </w:rPr>
        <w:t xml:space="preserve">The ACMA’s capital investment strategy is endorsed by its Executive Group. Sound management of the ACMA’s capital investment strategy is achieved by an appropriate capital management framework, and policies including the use of asset registers, capital budgeting prioritisation frameworks, time-recording and reporting. </w:t>
      </w:r>
    </w:p>
    <w:p w:rsidR="00B907F7" w:rsidRPr="00795A80" w:rsidRDefault="00B907F7" w:rsidP="00795A80">
      <w:pPr>
        <w:rPr>
          <w:rFonts w:eastAsiaTheme="minorHAnsi"/>
          <w:b/>
          <w:bCs/>
          <w:iCs/>
        </w:rPr>
      </w:pPr>
    </w:p>
    <w:p w:rsidR="00795A80" w:rsidRPr="00795A80" w:rsidRDefault="00795A80" w:rsidP="00795A80">
      <w:pPr>
        <w:pStyle w:val="Heading2"/>
      </w:pPr>
      <w:bookmarkStart w:id="67" w:name="_Toc453243393"/>
      <w:bookmarkStart w:id="68" w:name="_Toc453243896"/>
      <w:bookmarkStart w:id="69" w:name="_Toc453828803"/>
      <w:bookmarkStart w:id="70" w:name="_Toc457898857"/>
      <w:r w:rsidRPr="00795A80">
        <w:lastRenderedPageBreak/>
        <w:t>ICT capability</w:t>
      </w:r>
      <w:bookmarkEnd w:id="67"/>
      <w:bookmarkEnd w:id="68"/>
      <w:bookmarkEnd w:id="69"/>
      <w:bookmarkEnd w:id="70"/>
    </w:p>
    <w:p w:rsidR="00795A80" w:rsidRPr="00795A80" w:rsidRDefault="00795A80" w:rsidP="00795A80">
      <w:pPr>
        <w:rPr>
          <w:rFonts w:eastAsiaTheme="minorHAnsi"/>
        </w:rPr>
      </w:pPr>
      <w:r w:rsidRPr="00795A80">
        <w:rPr>
          <w:rFonts w:eastAsiaTheme="minorHAnsi"/>
        </w:rPr>
        <w:t xml:space="preserve">The ACMA’s ICT capability approach is articulated in our Information and Communications Technology Strategic Plan, which builds on the five-year ICT transformational roadmap. The key results of the ACMA’s ICT transformation to date have been the establishment of a modern and resilient infrastructure layer, the delivery of core business improvement applications, and enhanced and modern customer interaction initiatives.   </w:t>
      </w:r>
    </w:p>
    <w:p w:rsidR="00795A80" w:rsidRPr="00795A80" w:rsidRDefault="00795A80" w:rsidP="006D24C2">
      <w:pPr>
        <w:spacing w:after="80"/>
        <w:rPr>
          <w:b/>
        </w:rPr>
      </w:pPr>
      <w:r>
        <w:rPr>
          <w:rFonts w:eastAsiaTheme="minorHAnsi"/>
        </w:rPr>
        <w:t xml:space="preserve">The ACMA’s </w:t>
      </w:r>
      <w:r w:rsidRPr="00795A80">
        <w:rPr>
          <w:rFonts w:eastAsiaTheme="minorHAnsi"/>
        </w:rPr>
        <w:t>ICT priorities for this reporting period are to:</w:t>
      </w:r>
    </w:p>
    <w:p w:rsidR="00795A80" w:rsidRPr="00795A80" w:rsidRDefault="00795A80" w:rsidP="007B1E48">
      <w:pPr>
        <w:pStyle w:val="ListBullet"/>
      </w:pPr>
      <w:r w:rsidRPr="007B1E48">
        <w:rPr>
          <w:b/>
        </w:rPr>
        <w:t>Maximise value from system investment</w:t>
      </w:r>
      <w:r w:rsidR="007B1E48">
        <w:rPr>
          <w:b/>
        </w:rPr>
        <w:t>—</w:t>
      </w:r>
      <w:r w:rsidR="007B1E48" w:rsidRPr="00085A9D">
        <w:t>the</w:t>
      </w:r>
      <w:r w:rsidR="007B1E48">
        <w:rPr>
          <w:b/>
        </w:rPr>
        <w:t xml:space="preserve"> </w:t>
      </w:r>
      <w:r w:rsidRPr="00795A80">
        <w:t xml:space="preserve">ACMA’s focus will be on leveraging the existing hardware and software that the agency has successfully deployed, to ensure maximum value is obtained from our existing investment. </w:t>
      </w:r>
    </w:p>
    <w:p w:rsidR="00795A80" w:rsidRPr="00795A80" w:rsidRDefault="00795A80" w:rsidP="00085A9D">
      <w:pPr>
        <w:pStyle w:val="ListBullet"/>
      </w:pPr>
      <w:r w:rsidRPr="007B1E48">
        <w:rPr>
          <w:b/>
        </w:rPr>
        <w:t>Deliver manageable, agile projects</w:t>
      </w:r>
      <w:r w:rsidR="007B1E48">
        <w:rPr>
          <w:b/>
        </w:rPr>
        <w:t>—</w:t>
      </w:r>
      <w:r w:rsidR="007B1E48" w:rsidRPr="00B907F7">
        <w:t xml:space="preserve">the </w:t>
      </w:r>
      <w:r w:rsidR="007B1E48" w:rsidRPr="00795A80">
        <w:t xml:space="preserve">use of an agile project methodology (specifically ‘Scrum’ in concert with </w:t>
      </w:r>
      <w:proofErr w:type="spellStart"/>
      <w:r w:rsidR="007B1E48" w:rsidRPr="00795A80">
        <w:t>PRINCE2</w:t>
      </w:r>
      <w:proofErr w:type="spellEnd"/>
      <w:r w:rsidR="007B1E48" w:rsidRPr="00795A80">
        <w:t>) has proven to be very successful for the ACMA. Based on lessons learnt over the past four years, projects under $1</w:t>
      </w:r>
      <w:r w:rsidR="00032E62">
        <w:t xml:space="preserve"> million</w:t>
      </w:r>
      <w:r w:rsidR="007B1E48" w:rsidRPr="00795A80">
        <w:t xml:space="preserve"> and with a duration of less than nine months have delivered successful outcomes when this more flexible methodology is deployed. Over the life of this plan, the ACMA will continue to implement this methodology to optimise the benefits realised from ICT</w:t>
      </w:r>
      <w:r w:rsidR="007B1E48">
        <w:t xml:space="preserve"> </w:t>
      </w:r>
      <w:r w:rsidRPr="00795A80">
        <w:t>projects.</w:t>
      </w:r>
    </w:p>
    <w:p w:rsidR="00795A80" w:rsidRPr="00795A80" w:rsidRDefault="00795A80" w:rsidP="00085A9D">
      <w:pPr>
        <w:pStyle w:val="ListBullet"/>
        <w:rPr>
          <w:rFonts w:eastAsiaTheme="minorHAnsi"/>
        </w:rPr>
      </w:pPr>
      <w:r w:rsidRPr="007B1E48">
        <w:rPr>
          <w:b/>
        </w:rPr>
        <w:t>Migrate to cloud IT services</w:t>
      </w:r>
      <w:r w:rsidR="007B1E48">
        <w:rPr>
          <w:b/>
        </w:rPr>
        <w:t>—</w:t>
      </w:r>
      <w:r w:rsidR="007B1E48" w:rsidRPr="00085A9D">
        <w:t>over</w:t>
      </w:r>
      <w:r w:rsidRPr="00795A80">
        <w:rPr>
          <w:rFonts w:cs="Arial"/>
        </w:rPr>
        <w:t xml:space="preserve"> this reporting period,</w:t>
      </w:r>
      <w:r w:rsidRPr="00795A80">
        <w:rPr>
          <w:rFonts w:eastAsiaTheme="minorHAnsi"/>
        </w:rPr>
        <w:t xml:space="preserve"> the ACMA is planning to commence the migration of a number of systems that are identified as priorities for cloud migration in line with </w:t>
      </w:r>
      <w:r w:rsidR="00994F5C">
        <w:rPr>
          <w:rFonts w:eastAsiaTheme="minorHAnsi"/>
        </w:rPr>
        <w:t xml:space="preserve">the </w:t>
      </w:r>
      <w:r w:rsidRPr="00795A80">
        <w:rPr>
          <w:rFonts w:eastAsiaTheme="minorHAnsi"/>
        </w:rPr>
        <w:t>whole-of-government cloud computing policy. Key considerations for the ACMA include an opportunity for:</w:t>
      </w:r>
    </w:p>
    <w:p w:rsidR="00795A80" w:rsidRPr="00014AAD" w:rsidRDefault="00795A80" w:rsidP="00085A9D">
      <w:pPr>
        <w:pStyle w:val="ListBullet2"/>
        <w:rPr>
          <w:rFonts w:eastAsiaTheme="minorHAnsi"/>
        </w:rPr>
      </w:pPr>
      <w:r w:rsidRPr="00014AAD">
        <w:rPr>
          <w:rFonts w:eastAsiaTheme="minorHAnsi"/>
        </w:rPr>
        <w:t>a migration for core desktop services, primarily Microsoft Exchange</w:t>
      </w:r>
      <w:r w:rsidR="00994F5C" w:rsidRPr="00014AAD">
        <w:rPr>
          <w:rFonts w:eastAsiaTheme="minorHAnsi"/>
        </w:rPr>
        <w:t xml:space="preserve">, </w:t>
      </w:r>
      <w:r w:rsidRPr="00014AAD">
        <w:rPr>
          <w:rFonts w:eastAsiaTheme="minorHAnsi"/>
        </w:rPr>
        <w:t>which represents the option with the highest benefit, lowest cost and involving the least risk</w:t>
      </w:r>
    </w:p>
    <w:p w:rsidR="00795A80" w:rsidRPr="00014AAD" w:rsidRDefault="00795A80" w:rsidP="00085A9D">
      <w:pPr>
        <w:pStyle w:val="ListBullet2"/>
        <w:rPr>
          <w:rFonts w:eastAsiaTheme="minorHAnsi"/>
        </w:rPr>
      </w:pPr>
      <w:r w:rsidRPr="00014AAD">
        <w:rPr>
          <w:rFonts w:eastAsiaTheme="minorHAnsi"/>
        </w:rPr>
        <w:t>an Infrastructure as a Service (</w:t>
      </w:r>
      <w:proofErr w:type="spellStart"/>
      <w:r w:rsidRPr="00014AAD">
        <w:rPr>
          <w:rFonts w:eastAsiaTheme="minorHAnsi"/>
        </w:rPr>
        <w:t>IaaS</w:t>
      </w:r>
      <w:proofErr w:type="spellEnd"/>
      <w:r w:rsidRPr="00014AAD">
        <w:rPr>
          <w:rFonts w:eastAsiaTheme="minorHAnsi"/>
        </w:rPr>
        <w:t>) deployment to complete the consolidation and replacement of end-of-life IT infrastructure for core business applications and</w:t>
      </w:r>
      <w:r w:rsidR="00994F5C" w:rsidRPr="00014AAD">
        <w:rPr>
          <w:rFonts w:eastAsiaTheme="minorHAnsi"/>
        </w:rPr>
        <w:t xml:space="preserve"> to</w:t>
      </w:r>
      <w:r w:rsidRPr="00014AAD">
        <w:rPr>
          <w:rFonts w:eastAsiaTheme="minorHAnsi"/>
        </w:rPr>
        <w:t xml:space="preserve"> improve disaster recovery arrangements</w:t>
      </w:r>
    </w:p>
    <w:p w:rsidR="00795A80" w:rsidRPr="0008726A" w:rsidRDefault="00795A80" w:rsidP="00085A9D">
      <w:pPr>
        <w:pStyle w:val="ListBullet2"/>
        <w:rPr>
          <w:rFonts w:eastAsiaTheme="minorHAnsi"/>
        </w:rPr>
      </w:pPr>
      <w:proofErr w:type="gramStart"/>
      <w:r w:rsidRPr="00014AAD">
        <w:rPr>
          <w:rFonts w:eastAsiaTheme="minorHAnsi"/>
        </w:rPr>
        <w:t>a</w:t>
      </w:r>
      <w:proofErr w:type="gramEnd"/>
      <w:r w:rsidRPr="00014AAD">
        <w:rPr>
          <w:rFonts w:eastAsiaTheme="minorHAnsi"/>
        </w:rPr>
        <w:t xml:space="preserve"> Platform as a Service (</w:t>
      </w:r>
      <w:proofErr w:type="spellStart"/>
      <w:r w:rsidRPr="00014AAD">
        <w:rPr>
          <w:rFonts w:eastAsiaTheme="minorHAnsi"/>
        </w:rPr>
        <w:t>PaaS</w:t>
      </w:r>
      <w:proofErr w:type="spellEnd"/>
      <w:r w:rsidRPr="00014AAD">
        <w:rPr>
          <w:rFonts w:eastAsiaTheme="minorHAnsi"/>
        </w:rPr>
        <w:t>) deployment to maintain the corporate website in the future</w:t>
      </w:r>
      <w:r w:rsidRPr="0008726A">
        <w:rPr>
          <w:rFonts w:eastAsiaTheme="minorHAnsi"/>
        </w:rPr>
        <w:t>.</w:t>
      </w:r>
    </w:p>
    <w:p w:rsidR="00795A80" w:rsidRPr="00795A80" w:rsidRDefault="00795A80" w:rsidP="00085A9D">
      <w:pPr>
        <w:pStyle w:val="ListBullet"/>
        <w:rPr>
          <w:b/>
        </w:rPr>
      </w:pPr>
      <w:r w:rsidRPr="007B1E48">
        <w:rPr>
          <w:b/>
        </w:rPr>
        <w:t>Improve operation of the information management framework</w:t>
      </w:r>
      <w:r w:rsidR="007B1E48">
        <w:rPr>
          <w:b/>
        </w:rPr>
        <w:t>—</w:t>
      </w:r>
      <w:r w:rsidR="007B1E48" w:rsidRPr="00085A9D">
        <w:t>over this</w:t>
      </w:r>
      <w:r w:rsidRPr="00795A80">
        <w:t xml:space="preserve"> reporting period, increased focus on information management will improve the operation of the ACMA’s endorsed information management framework.  The purpose of the framework is to ensure that the ACMA's information management governance instruments (strategy, policy, procedures and other related documents) are aligned with the government’s requirements. The ACMA will continue delivery of the strategic and operational outcomes required by the framework.</w:t>
      </w:r>
    </w:p>
    <w:p w:rsidR="00795A80" w:rsidRPr="00795A80" w:rsidRDefault="00795A80" w:rsidP="00AE7077">
      <w:pPr>
        <w:pStyle w:val="Heading1"/>
      </w:pPr>
      <w:bookmarkStart w:id="71" w:name="_Toc422921391"/>
      <w:bookmarkStart w:id="72" w:name="_Toc453243394"/>
      <w:bookmarkStart w:id="73" w:name="_Toc453243897"/>
      <w:bookmarkStart w:id="74" w:name="_Toc453828804"/>
      <w:bookmarkStart w:id="75" w:name="_Toc457898858"/>
      <w:bookmarkEnd w:id="58"/>
      <w:r w:rsidRPr="00795A80">
        <w:lastRenderedPageBreak/>
        <w:t>Risk appetite and management</w:t>
      </w:r>
      <w:bookmarkEnd w:id="71"/>
      <w:bookmarkEnd w:id="72"/>
      <w:bookmarkEnd w:id="73"/>
      <w:bookmarkEnd w:id="74"/>
      <w:bookmarkEnd w:id="75"/>
    </w:p>
    <w:p w:rsidR="00795A80" w:rsidRPr="00795A80" w:rsidRDefault="00795A80" w:rsidP="00AE7077">
      <w:pPr>
        <w:pStyle w:val="Heading2"/>
      </w:pPr>
      <w:bookmarkStart w:id="76" w:name="_Toc457898859"/>
      <w:bookmarkStart w:id="77" w:name="_Toc422921392"/>
      <w:bookmarkStart w:id="78" w:name="_Toc453243395"/>
      <w:bookmarkStart w:id="79" w:name="_Toc453243898"/>
      <w:bookmarkStart w:id="80" w:name="_Toc453828805"/>
      <w:r w:rsidRPr="00795A80">
        <w:t xml:space="preserve">ACMA </w:t>
      </w:r>
      <w:r w:rsidR="00994F5C">
        <w:t>r</w:t>
      </w:r>
      <w:r w:rsidRPr="00795A80">
        <w:t xml:space="preserve">isk </w:t>
      </w:r>
      <w:r w:rsidR="00994F5C">
        <w:t>m</w:t>
      </w:r>
      <w:r w:rsidRPr="00795A80">
        <w:t>anagement approach</w:t>
      </w:r>
      <w:bookmarkEnd w:id="76"/>
      <w:r w:rsidRPr="00795A80">
        <w:t xml:space="preserve"> </w:t>
      </w:r>
      <w:bookmarkEnd w:id="77"/>
      <w:bookmarkEnd w:id="78"/>
      <w:bookmarkEnd w:id="79"/>
      <w:bookmarkEnd w:id="80"/>
    </w:p>
    <w:p w:rsidR="00795A80" w:rsidRDefault="00795A80" w:rsidP="00AE7077">
      <w:r w:rsidRPr="00795A80">
        <w:t>The ACMA faces a broad range of risks</w:t>
      </w:r>
      <w:r w:rsidR="00994F5C">
        <w:t>. These</w:t>
      </w:r>
      <w:r w:rsidRPr="00795A80">
        <w:t xml:space="preserve"> reflect its complex mandate and role in regulating complex technological and commercial changes in an internet</w:t>
      </w:r>
      <w:r w:rsidR="00296318">
        <w:t>-</w:t>
      </w:r>
      <w:r w:rsidRPr="00795A80">
        <w:t>enabled communications environment. The ACMA is committed to promoting a positive risk-aware culture that makes decisions based on a structured</w:t>
      </w:r>
      <w:r w:rsidR="00994F5C">
        <w:t xml:space="preserve">, </w:t>
      </w:r>
      <w:r w:rsidRPr="00795A80">
        <w:t xml:space="preserve">rigorous approach to risk management. Integrating informed risk management into business practices has enabled the ACMA to identify categories of strategic risk and opportunities to more effectively deliver on its purpose and objectives. The ACMA has identified seven categories of strategic risk </w:t>
      </w:r>
      <w:r w:rsidR="00994F5C">
        <w:t>that</w:t>
      </w:r>
      <w:r w:rsidR="00994F5C" w:rsidRPr="00795A80">
        <w:t xml:space="preserve"> </w:t>
      </w:r>
      <w:r w:rsidRPr="00795A80">
        <w:t xml:space="preserve">are aligned to its </w:t>
      </w:r>
      <w:proofErr w:type="spellStart"/>
      <w:r w:rsidRPr="00795A80">
        <w:t>KRAs</w:t>
      </w:r>
      <w:proofErr w:type="spellEnd"/>
      <w:r w:rsidR="00994F5C">
        <w:t>,</w:t>
      </w:r>
      <w:r w:rsidRPr="00795A80">
        <w:t xml:space="preserve"> and reviewed and reset on an annual basis: </w:t>
      </w:r>
    </w:p>
    <w:p w:rsidR="00AE7077" w:rsidRPr="00795A80" w:rsidRDefault="00AE7077" w:rsidP="00AE7077">
      <w:pPr>
        <w:pStyle w:val="Heading3"/>
      </w:pPr>
      <w:bookmarkStart w:id="81" w:name="_Toc457898860"/>
      <w:r>
        <w:t xml:space="preserve">Strategic </w:t>
      </w:r>
      <w:r w:rsidR="00994F5C">
        <w:t>r</w:t>
      </w:r>
      <w:r>
        <w:t>isks</w:t>
      </w:r>
      <w:bookmarkEnd w:id="81"/>
    </w:p>
    <w:p w:rsidR="00B40248" w:rsidRPr="00B40248" w:rsidRDefault="00B40248" w:rsidP="00B40248">
      <w:pPr>
        <w:pStyle w:val="ListNumber"/>
        <w:numPr>
          <w:ilvl w:val="0"/>
          <w:numId w:val="29"/>
        </w:numPr>
        <w:rPr>
          <w:b/>
        </w:rPr>
      </w:pPr>
      <w:r w:rsidRPr="00B40248">
        <w:rPr>
          <w:b/>
        </w:rPr>
        <w:t>Environmental responsiveness—</w:t>
      </w:r>
      <w:r w:rsidRPr="001B3277">
        <w:t>the ACMA fails to identify and develop relevant responses to a rapidly changing and evolving media and communications environment.</w:t>
      </w:r>
    </w:p>
    <w:p w:rsidR="00795A80" w:rsidRPr="00795A80" w:rsidRDefault="00795A80" w:rsidP="00AE7077">
      <w:pPr>
        <w:pStyle w:val="ListNumber"/>
        <w:numPr>
          <w:ilvl w:val="0"/>
          <w:numId w:val="29"/>
        </w:numPr>
      </w:pPr>
      <w:r w:rsidRPr="00AE7077">
        <w:rPr>
          <w:b/>
        </w:rPr>
        <w:t>Regulatory</w:t>
      </w:r>
      <w:r w:rsidR="00AE7077">
        <w:rPr>
          <w:b/>
        </w:rPr>
        <w:t xml:space="preserve"> strategy</w:t>
      </w:r>
      <w:r w:rsidR="00AE7077">
        <w:t>—t</w:t>
      </w:r>
      <w:r w:rsidRPr="00795A80">
        <w:t xml:space="preserve">he ACMA’s regulatory strategy, priorities and approach are not consistent with the expectations or objectives of the </w:t>
      </w:r>
      <w:r w:rsidR="00994F5C">
        <w:t>g</w:t>
      </w:r>
      <w:r w:rsidRPr="00795A80">
        <w:t>overnment’s media and communications regulation and strategy</w:t>
      </w:r>
      <w:r w:rsidR="00994F5C">
        <w:t>.</w:t>
      </w:r>
    </w:p>
    <w:p w:rsidR="00795A80" w:rsidRPr="00795A80" w:rsidRDefault="00795A80" w:rsidP="00AE7077">
      <w:pPr>
        <w:pStyle w:val="ListNumber"/>
        <w:numPr>
          <w:ilvl w:val="0"/>
          <w:numId w:val="29"/>
        </w:numPr>
      </w:pPr>
      <w:r w:rsidRPr="00AE7077">
        <w:rPr>
          <w:b/>
        </w:rPr>
        <w:t xml:space="preserve">Relationship with </w:t>
      </w:r>
      <w:r w:rsidR="00AE7077">
        <w:rPr>
          <w:b/>
        </w:rPr>
        <w:t>g</w:t>
      </w:r>
      <w:r w:rsidRPr="00AE7077">
        <w:rPr>
          <w:b/>
        </w:rPr>
        <w:t>overnment</w:t>
      </w:r>
      <w:r w:rsidR="00AE7077">
        <w:t>—t</w:t>
      </w:r>
      <w:r w:rsidRPr="00795A80">
        <w:t>he ACMA fails to provide well</w:t>
      </w:r>
      <w:r w:rsidR="00225962">
        <w:t>-</w:t>
      </w:r>
      <w:r w:rsidRPr="00795A80">
        <w:t xml:space="preserve">considered and timely advice to </w:t>
      </w:r>
      <w:r w:rsidR="00994F5C">
        <w:t>g</w:t>
      </w:r>
      <w:r w:rsidRPr="00795A80">
        <w:t>overnment to support sound media and communications regulation outcomes for all Australians</w:t>
      </w:r>
      <w:r w:rsidR="00994F5C">
        <w:t>.</w:t>
      </w:r>
    </w:p>
    <w:p w:rsidR="00795A80" w:rsidRPr="00795A80" w:rsidRDefault="00AE7077" w:rsidP="00AE7077">
      <w:pPr>
        <w:pStyle w:val="ListNumber"/>
        <w:numPr>
          <w:ilvl w:val="0"/>
          <w:numId w:val="29"/>
        </w:numPr>
      </w:pPr>
      <w:r>
        <w:rPr>
          <w:b/>
        </w:rPr>
        <w:t>Relationship with i</w:t>
      </w:r>
      <w:r w:rsidR="00795A80" w:rsidRPr="00AE7077">
        <w:rPr>
          <w:b/>
        </w:rPr>
        <w:t>ndustry</w:t>
      </w:r>
      <w:r>
        <w:t>—t</w:t>
      </w:r>
      <w:r w:rsidR="00795A80" w:rsidRPr="00795A80">
        <w:t xml:space="preserve">he ACMA is perceived as ineffective or irrelevant by key regulated entities in industry, </w:t>
      </w:r>
      <w:r w:rsidR="00B40248">
        <w:t>hampering</w:t>
      </w:r>
      <w:r w:rsidR="00795A80" w:rsidRPr="00795A80">
        <w:t xml:space="preserve"> its ability to achieve regulatory outcomes</w:t>
      </w:r>
      <w:r w:rsidR="00994F5C">
        <w:t>.</w:t>
      </w:r>
      <w:r w:rsidR="00795A80" w:rsidRPr="00AE7077" w:rsidDel="00FB6362">
        <w:rPr>
          <w:b/>
        </w:rPr>
        <w:t xml:space="preserve"> </w:t>
      </w:r>
    </w:p>
    <w:p w:rsidR="00795A80" w:rsidRPr="00795A80" w:rsidRDefault="00795A80" w:rsidP="00AE7077">
      <w:pPr>
        <w:pStyle w:val="ListNumber"/>
        <w:numPr>
          <w:ilvl w:val="0"/>
          <w:numId w:val="29"/>
        </w:numPr>
      </w:pPr>
      <w:r w:rsidRPr="00AE7077">
        <w:rPr>
          <w:b/>
        </w:rPr>
        <w:t>Relat</w:t>
      </w:r>
      <w:r w:rsidR="00AE7077">
        <w:rPr>
          <w:b/>
        </w:rPr>
        <w:t>ionship with consumers/citizens</w:t>
      </w:r>
      <w:r w:rsidR="00AE7077">
        <w:t>—t</w:t>
      </w:r>
      <w:r w:rsidRPr="00795A80">
        <w:t>he public lose confidence in the ACMA’s ability to perform its statutory role in the communications and media sectors</w:t>
      </w:r>
      <w:r w:rsidR="00FF17D2">
        <w:t>,</w:t>
      </w:r>
      <w:r w:rsidR="00B40248">
        <w:t xml:space="preserve"> reducing its effectiveness</w:t>
      </w:r>
      <w:r w:rsidR="00994F5C">
        <w:t>.</w:t>
      </w:r>
    </w:p>
    <w:p w:rsidR="00795A80" w:rsidRPr="00795A80" w:rsidRDefault="00795A80" w:rsidP="00AE7077">
      <w:pPr>
        <w:pStyle w:val="ListNumber"/>
        <w:numPr>
          <w:ilvl w:val="0"/>
          <w:numId w:val="29"/>
        </w:numPr>
      </w:pPr>
      <w:r w:rsidRPr="00AE7077">
        <w:rPr>
          <w:b/>
        </w:rPr>
        <w:t>Organisational capability</w:t>
      </w:r>
      <w:r w:rsidR="00AE7077">
        <w:t>—a</w:t>
      </w:r>
      <w:r w:rsidRPr="00AE7077">
        <w:rPr>
          <w:bCs/>
        </w:rPr>
        <w:t xml:space="preserve"> failure of the ACMA’s organisational capability (research, engagement, response, corporate support) </w:t>
      </w:r>
      <w:r w:rsidRPr="00795A80">
        <w:t>affects its ability to achieve effective regulatory outcomes; or leads to a perception that the ACMA does not make a relevant contribution to the Australian media and communications environment</w:t>
      </w:r>
      <w:r w:rsidR="003C09FD">
        <w:t>,</w:t>
      </w:r>
      <w:r w:rsidR="00B40248">
        <w:t xml:space="preserve"> reducing its effectiveness.</w:t>
      </w:r>
      <w:r w:rsidRPr="00AE7077">
        <w:rPr>
          <w:b/>
        </w:rPr>
        <w:t xml:space="preserve">  </w:t>
      </w:r>
    </w:p>
    <w:p w:rsidR="00795A80" w:rsidRPr="00795A80" w:rsidRDefault="00795A80" w:rsidP="00AE7077">
      <w:pPr>
        <w:pStyle w:val="ListNumber"/>
        <w:numPr>
          <w:ilvl w:val="0"/>
          <w:numId w:val="29"/>
        </w:numPr>
      </w:pPr>
      <w:r w:rsidRPr="00AE7077">
        <w:rPr>
          <w:b/>
        </w:rPr>
        <w:t xml:space="preserve">Ineffective </w:t>
      </w:r>
      <w:r w:rsidR="00AE7077">
        <w:rPr>
          <w:b/>
        </w:rPr>
        <w:t>r</w:t>
      </w:r>
      <w:r w:rsidRPr="00AE7077">
        <w:rPr>
          <w:b/>
        </w:rPr>
        <w:t xml:space="preserve">egulatory </w:t>
      </w:r>
      <w:r w:rsidR="00AE7077">
        <w:rPr>
          <w:b/>
        </w:rPr>
        <w:t>d</w:t>
      </w:r>
      <w:r w:rsidRPr="00AE7077">
        <w:rPr>
          <w:b/>
        </w:rPr>
        <w:t>elivery</w:t>
      </w:r>
      <w:r w:rsidR="00AE7077">
        <w:t>—t</w:t>
      </w:r>
      <w:r w:rsidRPr="00AE7077">
        <w:rPr>
          <w:bCs/>
        </w:rPr>
        <w:t xml:space="preserve">he </w:t>
      </w:r>
      <w:r w:rsidRPr="00795A80">
        <w:t>ACMA’s regulatory strategy and/or delivery (use of components of regulatory toolkit) is either inappropriate or ineffective.</w:t>
      </w:r>
    </w:p>
    <w:p w:rsidR="00AE7077" w:rsidRPr="00AE7077" w:rsidRDefault="00296318" w:rsidP="006D24C2">
      <w:pPr>
        <w:spacing w:after="80"/>
      </w:pPr>
      <w:r>
        <w:t>A number of internal controls underpin the ACMA’s risk management approach. These ensure that a consistent approach to risk management is adopted across the agency</w:t>
      </w:r>
      <w:r w:rsidR="00AE7077" w:rsidRPr="00AE7077">
        <w:t>. Agency committees with risk oversight include:</w:t>
      </w:r>
    </w:p>
    <w:p w:rsidR="00AE7077" w:rsidRPr="00AE7077" w:rsidRDefault="00AE7077" w:rsidP="00296318">
      <w:pPr>
        <w:pStyle w:val="ListBullet"/>
      </w:pPr>
      <w:r w:rsidRPr="00AE7077">
        <w:t>the Executive Group, wh</w:t>
      </w:r>
      <w:r w:rsidR="00B40248">
        <w:t>ich has</w:t>
      </w:r>
      <w:r w:rsidRPr="00AE7077">
        <w:t xml:space="preserve"> regular visibility of risks associated with the ACMA’s corporate plan objectives</w:t>
      </w:r>
    </w:p>
    <w:p w:rsidR="00AE7077" w:rsidRPr="00AE7077" w:rsidRDefault="00AE7077" w:rsidP="00296318">
      <w:pPr>
        <w:pStyle w:val="ListBullet"/>
      </w:pPr>
      <w:r w:rsidRPr="00AE7077">
        <w:t>the Audit Committee, wh</w:t>
      </w:r>
      <w:r w:rsidR="00B40248">
        <w:t xml:space="preserve">ich </w:t>
      </w:r>
      <w:r w:rsidRPr="00AE7077">
        <w:t>monitor</w:t>
      </w:r>
      <w:r w:rsidR="00B40248">
        <w:t>s</w:t>
      </w:r>
      <w:r w:rsidRPr="00AE7077">
        <w:t xml:space="preserve"> the agency’s risk management framework and its fraud risks and business continuity arrangements</w:t>
      </w:r>
    </w:p>
    <w:p w:rsidR="00367AD9" w:rsidRDefault="00AE7077" w:rsidP="006D24C2">
      <w:pPr>
        <w:pStyle w:val="ListBulletLast"/>
      </w:pPr>
      <w:proofErr w:type="gramStart"/>
      <w:r w:rsidRPr="00AE7077">
        <w:t>the</w:t>
      </w:r>
      <w:proofErr w:type="gramEnd"/>
      <w:r w:rsidRPr="00AE7077">
        <w:t xml:space="preserve"> Strategic Finance Committee, with oversight of finance risk.</w:t>
      </w:r>
    </w:p>
    <w:p w:rsidR="00367AD9" w:rsidRDefault="00AE7077" w:rsidP="00296318">
      <w:r w:rsidRPr="00AE7077">
        <w:t xml:space="preserve">The ACMA’s risk tolerance is based on the principle of managing risks to a level that is 'as low as reasonably practical' (or </w:t>
      </w:r>
      <w:proofErr w:type="spellStart"/>
      <w:r w:rsidRPr="00AE7077">
        <w:t>ALARP</w:t>
      </w:r>
      <w:proofErr w:type="spellEnd"/>
      <w:r w:rsidRPr="00AE7077">
        <w:t xml:space="preserve">). The </w:t>
      </w:r>
      <w:proofErr w:type="spellStart"/>
      <w:r w:rsidRPr="00AE7077">
        <w:t>ALARP</w:t>
      </w:r>
      <w:proofErr w:type="spellEnd"/>
      <w:r w:rsidRPr="00AE7077">
        <w:t xml:space="preserve"> principle applies to action taken to reduce risk until the cost of further measures is unlikely to deliver cost-effective benefits. </w:t>
      </w:r>
    </w:p>
    <w:p w:rsidR="00AE7077" w:rsidRDefault="00AE7077" w:rsidP="00296318">
      <w:r w:rsidRPr="00AE7077">
        <w:lastRenderedPageBreak/>
        <w:t xml:space="preserve">The ACMA </w:t>
      </w:r>
      <w:r w:rsidR="00367AD9">
        <w:t>assesses</w:t>
      </w:r>
      <w:r w:rsidRPr="00AE7077">
        <w:t xml:space="preserve"> risk using a rating assessment scale (ranging from low, medium, </w:t>
      </w:r>
      <w:proofErr w:type="gramStart"/>
      <w:r w:rsidRPr="00AE7077">
        <w:t>high</w:t>
      </w:r>
      <w:proofErr w:type="gramEnd"/>
      <w:r w:rsidR="00994F5C">
        <w:t xml:space="preserve"> to</w:t>
      </w:r>
      <w:r w:rsidRPr="00AE7077">
        <w:t xml:space="preserve"> extreme) w</w:t>
      </w:r>
      <w:r w:rsidR="00225962">
        <w:t>h</w:t>
      </w:r>
      <w:r w:rsidRPr="00AE7077">
        <w:t>i</w:t>
      </w:r>
      <w:r w:rsidR="00225962">
        <w:t>ch</w:t>
      </w:r>
      <w:r w:rsidRPr="00AE7077">
        <w:t xml:space="preserve"> informs its tolerance to risk and associated actions. Risk is assessed on a case-by-case basis.</w:t>
      </w:r>
      <w:r w:rsidR="00367AD9">
        <w:t xml:space="preserve"> </w:t>
      </w:r>
      <w:r w:rsidRPr="00AE7077">
        <w:t>Under this approach</w:t>
      </w:r>
      <w:r w:rsidR="00994F5C">
        <w:t>,</w:t>
      </w:r>
      <w:r w:rsidRPr="00AE7077">
        <w:t xml:space="preserve"> a risk with a rating of ‘</w:t>
      </w:r>
      <w:r w:rsidR="00994F5C">
        <w:t>e</w:t>
      </w:r>
      <w:r w:rsidRPr="00AE7077">
        <w:t>xtreme’ or ‘</w:t>
      </w:r>
      <w:r w:rsidR="00994F5C">
        <w:t>h</w:t>
      </w:r>
      <w:r w:rsidRPr="00AE7077">
        <w:t xml:space="preserve">igh’ is considered to be beyond the ACMA’s level of tolerance. These risks are therefore treated with control </w:t>
      </w:r>
      <w:r w:rsidR="00296318">
        <w:t>measures</w:t>
      </w:r>
      <w:r w:rsidRPr="00AE7077">
        <w:t xml:space="preserve"> to reduce the level of risk to a rating of ‘</w:t>
      </w:r>
      <w:r w:rsidR="00994F5C">
        <w:t>m</w:t>
      </w:r>
      <w:r w:rsidRPr="00AE7077">
        <w:t xml:space="preserve">edium’. In exceptional </w:t>
      </w:r>
      <w:r w:rsidR="00994F5C" w:rsidRPr="00AE7077">
        <w:t>circumstances,</w:t>
      </w:r>
      <w:r w:rsidRPr="00AE7077">
        <w:t xml:space="preserve"> certain ‘high’ risks are permitted to be carried for strategic, operational or regulatory reasons. In such </w:t>
      </w:r>
      <w:r w:rsidR="00994F5C" w:rsidRPr="00AE7077">
        <w:t>cases,</w:t>
      </w:r>
      <w:r w:rsidRPr="00AE7077">
        <w:t xml:space="preserve"> appropriate risk controls </w:t>
      </w:r>
      <w:r w:rsidR="00994F5C">
        <w:t>are required,</w:t>
      </w:r>
      <w:r w:rsidRPr="00AE7077">
        <w:t xml:space="preserve"> including a documented risk assessment, entry onto a risk register and </w:t>
      </w:r>
      <w:r w:rsidR="00367AD9">
        <w:t xml:space="preserve">quarterly monitoring of risk controls and treatments. </w:t>
      </w:r>
    </w:p>
    <w:p w:rsidR="00795A80" w:rsidRPr="00795A80" w:rsidRDefault="00795A80" w:rsidP="00795A80">
      <w:pPr>
        <w:pStyle w:val="Heading1"/>
      </w:pPr>
      <w:bookmarkStart w:id="82" w:name="_Toc369097752"/>
      <w:bookmarkStart w:id="83" w:name="_Toc422921393"/>
      <w:bookmarkStart w:id="84" w:name="_Toc453243396"/>
      <w:bookmarkStart w:id="85" w:name="_Toc453243899"/>
      <w:bookmarkStart w:id="86" w:name="_Toc453828806"/>
      <w:bookmarkStart w:id="87" w:name="_Toc457898861"/>
      <w:r w:rsidRPr="00795A80">
        <w:lastRenderedPageBreak/>
        <w:t>Feedback</w:t>
      </w:r>
      <w:bookmarkEnd w:id="82"/>
      <w:bookmarkEnd w:id="83"/>
      <w:bookmarkEnd w:id="84"/>
      <w:bookmarkEnd w:id="85"/>
      <w:bookmarkEnd w:id="86"/>
      <w:bookmarkEnd w:id="87"/>
    </w:p>
    <w:p w:rsidR="00795A80" w:rsidRPr="00795A80" w:rsidRDefault="00795A80" w:rsidP="00795A80">
      <w:r w:rsidRPr="00795A80">
        <w:t xml:space="preserve">The ACMA welcomes feedback on the </w:t>
      </w:r>
      <w:proofErr w:type="gramStart"/>
      <w:r w:rsidRPr="00795A80">
        <w:rPr>
          <w:i/>
        </w:rPr>
        <w:t>Corporate</w:t>
      </w:r>
      <w:proofErr w:type="gramEnd"/>
      <w:r w:rsidRPr="00795A80">
        <w:rPr>
          <w:i/>
        </w:rPr>
        <w:t xml:space="preserve"> plan 2016–</w:t>
      </w:r>
      <w:r>
        <w:rPr>
          <w:i/>
        </w:rPr>
        <w:t>17</w:t>
      </w:r>
      <w:r w:rsidRPr="00795A80">
        <w:t xml:space="preserve">. Please email us at </w:t>
      </w:r>
      <w:hyperlink r:id="rId30" w:history="1">
        <w:r w:rsidRPr="00795A80">
          <w:rPr>
            <w:color w:val="0000FF"/>
            <w:u w:val="single"/>
          </w:rPr>
          <w:t>Governance@acma.gov.au</w:t>
        </w:r>
      </w:hyperlink>
      <w:r w:rsidRPr="00795A80">
        <w:t xml:space="preserve">. </w:t>
      </w:r>
      <w:bookmarkStart w:id="88" w:name="_GoBack"/>
      <w:bookmarkEnd w:id="88"/>
    </w:p>
    <w:sectPr w:rsidR="00795A80" w:rsidRPr="00795A80" w:rsidSect="00C77380">
      <w:headerReference w:type="even" r:id="rId31"/>
      <w:headerReference w:type="default" r:id="rId32"/>
      <w:footerReference w:type="even" r:id="rId33"/>
      <w:footerReference w:type="default" r:id="rId34"/>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CA8" w:rsidRDefault="001B3CA8">
      <w:r>
        <w:separator/>
      </w:r>
    </w:p>
  </w:endnote>
  <w:endnote w:type="continuationSeparator" w:id="0">
    <w:p w:rsidR="001B3CA8" w:rsidRDefault="001B3CA8">
      <w:r>
        <w:continuationSeparator/>
      </w:r>
    </w:p>
  </w:endnote>
  <w:endnote w:type="continuationNotice" w:id="1">
    <w:p w:rsidR="001B3CA8" w:rsidRDefault="001B3C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Lt">
    <w:altName w:val="Helvetica Light"/>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A5474E" w:rsidRDefault="001B3CA8" w:rsidP="00A5474E">
    <w:pPr>
      <w:pStyle w:val="Footer"/>
    </w:pPr>
    <w:r>
      <w:rPr>
        <w:noProof/>
      </w:rPr>
      <w:drawing>
        <wp:inline distT="0" distB="0" distL="0" distR="0" wp14:anchorId="64E2F520" wp14:editId="71E2C7CE">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Default="001B3C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Default="001B3C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622A3B" w:rsidRDefault="001B3CA8"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8F45F8">
      <w:rPr>
        <w:noProof/>
        <w:color w:val="505050"/>
      </w:rPr>
      <w:t>iv</w:t>
    </w:r>
    <w:r w:rsidRPr="002E4DDC">
      <w:rPr>
        <w:color w:val="505050"/>
      </w:rPr>
      <w:fldChar w:fldCharType="end"/>
    </w:r>
  </w:p>
  <w:p w:rsidR="001B3CA8" w:rsidRPr="00A5474E" w:rsidRDefault="001B3CA8" w:rsidP="00A547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622A3B" w:rsidRDefault="001B3CA8"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rsidR="001B3CA8" w:rsidRPr="00A5474E" w:rsidRDefault="001B3CA8" w:rsidP="00A547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622A3B" w:rsidRDefault="001B3CA8"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8F45F8">
      <w:rPr>
        <w:noProof/>
        <w:color w:val="505050"/>
      </w:rPr>
      <w:t>iii</w:t>
    </w:r>
    <w:r w:rsidRPr="002E4DDC">
      <w:rPr>
        <w:color w:val="505050"/>
      </w:rPr>
      <w:fldChar w:fldCharType="end"/>
    </w:r>
  </w:p>
  <w:p w:rsidR="001B3CA8" w:rsidRPr="00A5474E" w:rsidRDefault="001B3CA8"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622A3B" w:rsidRDefault="001B3CA8"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8F45F8">
      <w:rPr>
        <w:noProof/>
      </w:rPr>
      <w:t>24</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rsidR="001B3CA8" w:rsidRPr="00A5474E" w:rsidRDefault="001B3CA8"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622A3B" w:rsidRDefault="001B3CA8"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8F45F8">
      <w:rPr>
        <w:noProof/>
        <w:color w:val="505050"/>
      </w:rPr>
      <w:t>23</w:t>
    </w:r>
    <w:r w:rsidRPr="00575AC5">
      <w:rPr>
        <w:color w:val="505050"/>
      </w:rPr>
      <w:fldChar w:fldCharType="end"/>
    </w:r>
  </w:p>
  <w:p w:rsidR="001B3CA8" w:rsidRPr="00A5474E" w:rsidRDefault="001B3CA8"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CA8" w:rsidRDefault="001B3CA8">
      <w:r>
        <w:separator/>
      </w:r>
    </w:p>
  </w:footnote>
  <w:footnote w:type="continuationSeparator" w:id="0">
    <w:p w:rsidR="001B3CA8" w:rsidRDefault="001B3CA8">
      <w:r>
        <w:continuationSeparator/>
      </w:r>
    </w:p>
  </w:footnote>
  <w:footnote w:type="continuationNotice" w:id="1">
    <w:p w:rsidR="001B3CA8" w:rsidRDefault="001B3CA8">
      <w:pPr>
        <w:spacing w:after="0" w:line="240" w:lineRule="auto"/>
      </w:pPr>
    </w:p>
  </w:footnote>
  <w:footnote w:id="2">
    <w:p w:rsidR="001B3CA8" w:rsidRDefault="001B3CA8" w:rsidP="001F1A7A">
      <w:pPr>
        <w:pStyle w:val="FootnoteText"/>
        <w:spacing w:after="0"/>
      </w:pPr>
      <w:r>
        <w:rPr>
          <w:rStyle w:val="FootnoteReference"/>
        </w:rPr>
        <w:footnoteRef/>
      </w:r>
      <w:r>
        <w:t xml:space="preserve"> </w:t>
      </w:r>
      <w:hyperlink r:id="rId1" w:history="1">
        <w:r>
          <w:rPr>
            <w:rStyle w:val="Hyperlink"/>
          </w:rPr>
          <w:t>CISCO Visual Networking index, 2015</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A5474E" w:rsidRDefault="001B3CA8" w:rsidP="00A5474E">
    <w:pPr>
      <w:pStyle w:val="Header"/>
    </w:pPr>
    <w:r>
      <w:rPr>
        <w:noProof/>
      </w:rPr>
      <w:drawing>
        <wp:inline distT="0" distB="0" distL="0" distR="0" wp14:anchorId="65BDD35D" wp14:editId="3E628707">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Pr="00A5474E" w:rsidRDefault="001B3CA8" w:rsidP="00594E9C">
    <w:pPr>
      <w:pStyle w:val="TOCHeading"/>
    </w:pPr>
    <w:r w:rsidRPr="0029593B">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Default="001B3C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Default="001B3C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1B3CA8" w:rsidTr="00551401">
      <w:trPr>
        <w:trHeight w:hRule="exact" w:val="988"/>
      </w:trPr>
      <w:tc>
        <w:tcPr>
          <w:tcW w:w="7678" w:type="dxa"/>
          <w:shd w:val="clear" w:color="auto" w:fill="auto"/>
        </w:tcPr>
        <w:p w:rsidR="001B3CA8" w:rsidRDefault="001B3CA8" w:rsidP="00971914">
          <w:pPr>
            <w:pStyle w:val="Header"/>
          </w:pPr>
        </w:p>
      </w:tc>
    </w:tr>
    <w:tr w:rsidR="001B3CA8" w:rsidTr="00551401">
      <w:tc>
        <w:tcPr>
          <w:tcW w:w="7678" w:type="dxa"/>
          <w:shd w:val="clear" w:color="auto" w:fill="auto"/>
        </w:tcPr>
        <w:p w:rsidR="001B3CA8" w:rsidRDefault="001B3CA8" w:rsidP="00971914">
          <w:pPr>
            <w:pStyle w:val="GridTable31"/>
          </w:pPr>
          <w:r>
            <w:t xml:space="preserve">Contents </w:t>
          </w:r>
          <w:r w:rsidRPr="00915B1C">
            <w:rPr>
              <w:b w:val="0"/>
              <w:spacing w:val="0"/>
              <w:sz w:val="28"/>
              <w:szCs w:val="28"/>
            </w:rPr>
            <w:t>(Continued)</w:t>
          </w:r>
        </w:p>
      </w:tc>
    </w:tr>
    <w:tr w:rsidR="001B3CA8" w:rsidTr="00551401">
      <w:trPr>
        <w:trHeight w:val="1220"/>
      </w:trPr>
      <w:tc>
        <w:tcPr>
          <w:tcW w:w="7678" w:type="dxa"/>
          <w:shd w:val="clear" w:color="auto" w:fill="auto"/>
        </w:tcPr>
        <w:p w:rsidR="001B3CA8" w:rsidRDefault="001B3CA8" w:rsidP="00971914"/>
      </w:tc>
    </w:tr>
  </w:tbl>
  <w:p w:rsidR="001B3CA8" w:rsidRDefault="001B3CA8" w:rsidP="0097191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1B3CA8" w:rsidTr="00551401">
      <w:trPr>
        <w:trHeight w:hRule="exact" w:val="988"/>
      </w:trPr>
      <w:tc>
        <w:tcPr>
          <w:tcW w:w="7678" w:type="dxa"/>
          <w:shd w:val="clear" w:color="auto" w:fill="auto"/>
        </w:tcPr>
        <w:p w:rsidR="001B3CA8" w:rsidRDefault="001B3CA8" w:rsidP="00971914">
          <w:pPr>
            <w:pStyle w:val="Header"/>
          </w:pPr>
        </w:p>
      </w:tc>
    </w:tr>
    <w:tr w:rsidR="001B3CA8" w:rsidTr="00551401">
      <w:tc>
        <w:tcPr>
          <w:tcW w:w="7678" w:type="dxa"/>
          <w:shd w:val="clear" w:color="auto" w:fill="auto"/>
        </w:tcPr>
        <w:p w:rsidR="001B3CA8" w:rsidRDefault="001B3CA8" w:rsidP="00971914">
          <w:pPr>
            <w:pStyle w:val="GridTable31"/>
          </w:pPr>
          <w:r>
            <w:t xml:space="preserve">Contents </w:t>
          </w:r>
          <w:r w:rsidRPr="00915B1C">
            <w:rPr>
              <w:b w:val="0"/>
              <w:spacing w:val="0"/>
              <w:sz w:val="28"/>
              <w:szCs w:val="28"/>
            </w:rPr>
            <w:t>(Continued)</w:t>
          </w:r>
        </w:p>
      </w:tc>
    </w:tr>
    <w:tr w:rsidR="001B3CA8" w:rsidTr="00551401">
      <w:trPr>
        <w:trHeight w:val="1220"/>
      </w:trPr>
      <w:tc>
        <w:tcPr>
          <w:tcW w:w="7678" w:type="dxa"/>
          <w:shd w:val="clear" w:color="auto" w:fill="auto"/>
        </w:tcPr>
        <w:p w:rsidR="001B3CA8" w:rsidRDefault="001B3CA8" w:rsidP="00971914"/>
      </w:tc>
    </w:tr>
  </w:tbl>
  <w:p w:rsidR="001B3CA8" w:rsidRPr="00A5474E" w:rsidRDefault="001B3CA8"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Default="001B3CA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A8" w:rsidRDefault="001B3C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BEA83BE"/>
    <w:lvl w:ilvl="0">
      <w:start w:val="1"/>
      <w:numFmt w:val="decimal"/>
      <w:lvlText w:val="%1."/>
      <w:lvlJc w:val="left"/>
      <w:pPr>
        <w:tabs>
          <w:tab w:val="num" w:pos="1492"/>
        </w:tabs>
        <w:ind w:left="1492" w:hanging="360"/>
      </w:pPr>
    </w:lvl>
  </w:abstractNum>
  <w:abstractNum w:abstractNumId="1">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nsid w:val="FFFFFF88"/>
    <w:multiLevelType w:val="singleLevel"/>
    <w:tmpl w:val="F4C85B36"/>
    <w:lvl w:ilvl="0">
      <w:start w:val="1"/>
      <w:numFmt w:val="decimal"/>
      <w:pStyle w:val="ListNumber"/>
      <w:lvlText w:val="%1."/>
      <w:lvlJc w:val="left"/>
      <w:pPr>
        <w:ind w:left="360" w:hanging="360"/>
      </w:pPr>
      <w:rPr>
        <w:rFonts w:hint="default"/>
        <w:caps/>
        <w:sz w:val="20"/>
      </w:rPr>
    </w:lvl>
  </w:abstractNum>
  <w:abstractNum w:abstractNumId="4">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nsid w:val="0986155D"/>
    <w:multiLevelType w:val="hybridMultilevel"/>
    <w:tmpl w:val="AB4C3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17460E"/>
    <w:multiLevelType w:val="hybridMultilevel"/>
    <w:tmpl w:val="7D0E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AB3A3F"/>
    <w:multiLevelType w:val="hybridMultilevel"/>
    <w:tmpl w:val="7DA6E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5D038B"/>
    <w:multiLevelType w:val="hybridMultilevel"/>
    <w:tmpl w:val="3D8A631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nsid w:val="3A5E56CD"/>
    <w:multiLevelType w:val="hybridMultilevel"/>
    <w:tmpl w:val="8A2AE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152B68"/>
    <w:multiLevelType w:val="hybridMultilevel"/>
    <w:tmpl w:val="03E4A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58614B"/>
    <w:multiLevelType w:val="hybridMultilevel"/>
    <w:tmpl w:val="7E4C8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1816891"/>
    <w:multiLevelType w:val="hybridMultilevel"/>
    <w:tmpl w:val="8D906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F02E15"/>
    <w:multiLevelType w:val="hybridMultilevel"/>
    <w:tmpl w:val="3934E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7E42F5B"/>
    <w:multiLevelType w:val="hybridMultilevel"/>
    <w:tmpl w:val="F6AA69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8703FDA"/>
    <w:multiLevelType w:val="hybridMultilevel"/>
    <w:tmpl w:val="C3CA9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B1352BF"/>
    <w:multiLevelType w:val="hybridMultilevel"/>
    <w:tmpl w:val="5F78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BD0CB5"/>
    <w:multiLevelType w:val="hybridMultilevel"/>
    <w:tmpl w:val="6AF0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FE83515"/>
    <w:multiLevelType w:val="hybridMultilevel"/>
    <w:tmpl w:val="561A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9"/>
  </w:num>
  <w:num w:numId="6">
    <w:abstractNumId w:val="16"/>
  </w:num>
  <w:num w:numId="7">
    <w:abstractNumId w:val="11"/>
  </w:num>
  <w:num w:numId="8">
    <w:abstractNumId w:val="15"/>
  </w:num>
  <w:num w:numId="9">
    <w:abstractNumId w:val="17"/>
  </w:num>
  <w:num w:numId="10">
    <w:abstractNumId w:val="3"/>
    <w:lvlOverride w:ilvl="0">
      <w:startOverride w:val="1"/>
    </w:lvlOverride>
  </w:num>
  <w:num w:numId="11">
    <w:abstractNumId w:val="3"/>
    <w:lvlOverride w:ilvl="0">
      <w:startOverride w:val="1"/>
    </w:lvlOverride>
  </w:num>
  <w:num w:numId="12">
    <w:abstractNumId w:val="20"/>
  </w:num>
  <w:num w:numId="13">
    <w:abstractNumId w:val="23"/>
  </w:num>
  <w:num w:numId="14">
    <w:abstractNumId w:val="0"/>
  </w:num>
  <w:num w:numId="15">
    <w:abstractNumId w:val="3"/>
    <w:lvlOverride w:ilvl="0">
      <w:startOverride w:val="1"/>
    </w:lvlOverride>
  </w:num>
  <w:num w:numId="16">
    <w:abstractNumId w:val="22"/>
  </w:num>
  <w:num w:numId="17">
    <w:abstractNumId w:val="5"/>
  </w:num>
  <w:num w:numId="18">
    <w:abstractNumId w:val="3"/>
    <w:lvlOverride w:ilvl="0">
      <w:startOverride w:val="1"/>
    </w:lvlOverride>
  </w:num>
  <w:num w:numId="19">
    <w:abstractNumId w:val="10"/>
  </w:num>
  <w:num w:numId="20">
    <w:abstractNumId w:val="12"/>
  </w:num>
  <w:num w:numId="21">
    <w:abstractNumId w:val="21"/>
  </w:num>
  <w:num w:numId="22">
    <w:abstractNumId w:val="18"/>
  </w:num>
  <w:num w:numId="23">
    <w:abstractNumId w:val="6"/>
  </w:num>
  <w:num w:numId="24">
    <w:abstractNumId w:val="13"/>
  </w:num>
  <w:num w:numId="25">
    <w:abstractNumId w:val="7"/>
  </w:num>
  <w:num w:numId="26">
    <w:abstractNumId w:val="14"/>
  </w:num>
  <w:num w:numId="27">
    <w:abstractNumId w:val="8"/>
  </w:num>
  <w:num w:numId="28">
    <w:abstractNumId w:val="3"/>
    <w:lvlOverride w:ilvl="0">
      <w:startOverride w:val="1"/>
    </w:lvlOverride>
  </w:num>
  <w:num w:numId="29">
    <w:abstractNumId w:val="3"/>
    <w:lvlOverride w:ilvl="0">
      <w:startOverride w:val="1"/>
    </w:lvlOverride>
  </w:num>
  <w:num w:numId="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284"/>
  <w:evenAndOddHeaders/>
  <w:drawingGridHorizontalSpacing w:val="100"/>
  <w:displayHorizontalDrawingGridEvery w:val="2"/>
  <w:characterSpacingControl w:val="doNotCompress"/>
  <w:hdrShapeDefaults>
    <o:shapedefaults v:ext="edit" spidmax="4097">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669"/>
    <w:rsid w:val="000064C7"/>
    <w:rsid w:val="0000657B"/>
    <w:rsid w:val="00007989"/>
    <w:rsid w:val="00010667"/>
    <w:rsid w:val="000129D5"/>
    <w:rsid w:val="00014AAD"/>
    <w:rsid w:val="00015AE7"/>
    <w:rsid w:val="000168F4"/>
    <w:rsid w:val="00016E21"/>
    <w:rsid w:val="0001719C"/>
    <w:rsid w:val="0002224E"/>
    <w:rsid w:val="00026F91"/>
    <w:rsid w:val="00030495"/>
    <w:rsid w:val="00032E62"/>
    <w:rsid w:val="0004764C"/>
    <w:rsid w:val="0005011A"/>
    <w:rsid w:val="0005045A"/>
    <w:rsid w:val="00051C1E"/>
    <w:rsid w:val="000539F9"/>
    <w:rsid w:val="00054C27"/>
    <w:rsid w:val="00055E23"/>
    <w:rsid w:val="00055EC3"/>
    <w:rsid w:val="000563CE"/>
    <w:rsid w:val="00064383"/>
    <w:rsid w:val="000659B6"/>
    <w:rsid w:val="0006686F"/>
    <w:rsid w:val="0006722A"/>
    <w:rsid w:val="00070FB9"/>
    <w:rsid w:val="000732CF"/>
    <w:rsid w:val="00075B96"/>
    <w:rsid w:val="00076119"/>
    <w:rsid w:val="0008196A"/>
    <w:rsid w:val="00085A9D"/>
    <w:rsid w:val="0008726A"/>
    <w:rsid w:val="000915ED"/>
    <w:rsid w:val="0009209D"/>
    <w:rsid w:val="00092CCD"/>
    <w:rsid w:val="000969BD"/>
    <w:rsid w:val="000969BF"/>
    <w:rsid w:val="000A0C22"/>
    <w:rsid w:val="000A3C43"/>
    <w:rsid w:val="000A4A51"/>
    <w:rsid w:val="000A5D2B"/>
    <w:rsid w:val="000B5DE3"/>
    <w:rsid w:val="000C0A57"/>
    <w:rsid w:val="000C230C"/>
    <w:rsid w:val="000C6AB4"/>
    <w:rsid w:val="000D05F3"/>
    <w:rsid w:val="000D71D9"/>
    <w:rsid w:val="000D76E0"/>
    <w:rsid w:val="000D7E8B"/>
    <w:rsid w:val="000E4449"/>
    <w:rsid w:val="000E6097"/>
    <w:rsid w:val="00103829"/>
    <w:rsid w:val="00110901"/>
    <w:rsid w:val="00111FCE"/>
    <w:rsid w:val="001229A5"/>
    <w:rsid w:val="0012489B"/>
    <w:rsid w:val="00130017"/>
    <w:rsid w:val="00130F91"/>
    <w:rsid w:val="001349ED"/>
    <w:rsid w:val="00137424"/>
    <w:rsid w:val="00140318"/>
    <w:rsid w:val="00141AD9"/>
    <w:rsid w:val="00146CE6"/>
    <w:rsid w:val="00152903"/>
    <w:rsid w:val="00153FD5"/>
    <w:rsid w:val="0015614F"/>
    <w:rsid w:val="001577C2"/>
    <w:rsid w:val="001633C4"/>
    <w:rsid w:val="00171591"/>
    <w:rsid w:val="00173981"/>
    <w:rsid w:val="0017719D"/>
    <w:rsid w:val="00183FD7"/>
    <w:rsid w:val="00185CAB"/>
    <w:rsid w:val="001875B7"/>
    <w:rsid w:val="00187CB3"/>
    <w:rsid w:val="0019050A"/>
    <w:rsid w:val="001910D4"/>
    <w:rsid w:val="001976E3"/>
    <w:rsid w:val="001A44EC"/>
    <w:rsid w:val="001A6E76"/>
    <w:rsid w:val="001B3277"/>
    <w:rsid w:val="001B3CA8"/>
    <w:rsid w:val="001B58AA"/>
    <w:rsid w:val="001B7E48"/>
    <w:rsid w:val="001C17CE"/>
    <w:rsid w:val="001C36CA"/>
    <w:rsid w:val="001C44D1"/>
    <w:rsid w:val="001C6AEE"/>
    <w:rsid w:val="001C7630"/>
    <w:rsid w:val="001D6D15"/>
    <w:rsid w:val="001F1A7A"/>
    <w:rsid w:val="001F7558"/>
    <w:rsid w:val="00205B57"/>
    <w:rsid w:val="002157E0"/>
    <w:rsid w:val="00216A57"/>
    <w:rsid w:val="0022334F"/>
    <w:rsid w:val="00225962"/>
    <w:rsid w:val="00226819"/>
    <w:rsid w:val="002305E3"/>
    <w:rsid w:val="00231C61"/>
    <w:rsid w:val="00233101"/>
    <w:rsid w:val="00233817"/>
    <w:rsid w:val="002367FF"/>
    <w:rsid w:val="00240CE9"/>
    <w:rsid w:val="002434BA"/>
    <w:rsid w:val="00246089"/>
    <w:rsid w:val="00246093"/>
    <w:rsid w:val="00246702"/>
    <w:rsid w:val="0024793F"/>
    <w:rsid w:val="00247C59"/>
    <w:rsid w:val="00247F2E"/>
    <w:rsid w:val="00250ADC"/>
    <w:rsid w:val="00250B07"/>
    <w:rsid w:val="00257553"/>
    <w:rsid w:val="00260FB2"/>
    <w:rsid w:val="00262128"/>
    <w:rsid w:val="0027034C"/>
    <w:rsid w:val="0027165D"/>
    <w:rsid w:val="00273CEB"/>
    <w:rsid w:val="00281C89"/>
    <w:rsid w:val="0028282F"/>
    <w:rsid w:val="00282A04"/>
    <w:rsid w:val="0029593B"/>
    <w:rsid w:val="00295D86"/>
    <w:rsid w:val="00296318"/>
    <w:rsid w:val="00297FC5"/>
    <w:rsid w:val="002A0417"/>
    <w:rsid w:val="002A16D8"/>
    <w:rsid w:val="002A1BC8"/>
    <w:rsid w:val="002A3EF2"/>
    <w:rsid w:val="002B0DED"/>
    <w:rsid w:val="002B19A2"/>
    <w:rsid w:val="002B381A"/>
    <w:rsid w:val="002B4FCC"/>
    <w:rsid w:val="002B7408"/>
    <w:rsid w:val="002B7CFD"/>
    <w:rsid w:val="002C210F"/>
    <w:rsid w:val="002D3600"/>
    <w:rsid w:val="002D6C0F"/>
    <w:rsid w:val="002E4DDC"/>
    <w:rsid w:val="002E7484"/>
    <w:rsid w:val="00302480"/>
    <w:rsid w:val="00311D58"/>
    <w:rsid w:val="003165E6"/>
    <w:rsid w:val="003221CF"/>
    <w:rsid w:val="003233ED"/>
    <w:rsid w:val="00324D9F"/>
    <w:rsid w:val="00327948"/>
    <w:rsid w:val="0033000F"/>
    <w:rsid w:val="00332011"/>
    <w:rsid w:val="00332518"/>
    <w:rsid w:val="00332925"/>
    <w:rsid w:val="003332ED"/>
    <w:rsid w:val="0033382D"/>
    <w:rsid w:val="003368DC"/>
    <w:rsid w:val="00345927"/>
    <w:rsid w:val="00350584"/>
    <w:rsid w:val="00351857"/>
    <w:rsid w:val="003545E8"/>
    <w:rsid w:val="003610E1"/>
    <w:rsid w:val="003671BE"/>
    <w:rsid w:val="00367AD9"/>
    <w:rsid w:val="00372485"/>
    <w:rsid w:val="00373200"/>
    <w:rsid w:val="00375EF5"/>
    <w:rsid w:val="003767A5"/>
    <w:rsid w:val="003768DD"/>
    <w:rsid w:val="00376EB0"/>
    <w:rsid w:val="00385254"/>
    <w:rsid w:val="0039410D"/>
    <w:rsid w:val="003A04DB"/>
    <w:rsid w:val="003A5F5B"/>
    <w:rsid w:val="003A789A"/>
    <w:rsid w:val="003A7C9F"/>
    <w:rsid w:val="003B12EC"/>
    <w:rsid w:val="003C09FD"/>
    <w:rsid w:val="003C77E0"/>
    <w:rsid w:val="003D17D7"/>
    <w:rsid w:val="003D2678"/>
    <w:rsid w:val="003D71A3"/>
    <w:rsid w:val="003E2B8A"/>
    <w:rsid w:val="003E3B85"/>
    <w:rsid w:val="003F10EE"/>
    <w:rsid w:val="003F16F6"/>
    <w:rsid w:val="003F4DC7"/>
    <w:rsid w:val="003F5235"/>
    <w:rsid w:val="004018FC"/>
    <w:rsid w:val="004027E4"/>
    <w:rsid w:val="0041071D"/>
    <w:rsid w:val="00414AFC"/>
    <w:rsid w:val="004151A7"/>
    <w:rsid w:val="00415310"/>
    <w:rsid w:val="00420185"/>
    <w:rsid w:val="00421709"/>
    <w:rsid w:val="00423763"/>
    <w:rsid w:val="004270DE"/>
    <w:rsid w:val="0042762F"/>
    <w:rsid w:val="00427DC7"/>
    <w:rsid w:val="00431613"/>
    <w:rsid w:val="00431792"/>
    <w:rsid w:val="0043297A"/>
    <w:rsid w:val="00432EB2"/>
    <w:rsid w:val="0043714F"/>
    <w:rsid w:val="004438B5"/>
    <w:rsid w:val="00447037"/>
    <w:rsid w:val="0045124D"/>
    <w:rsid w:val="00454596"/>
    <w:rsid w:val="0045605D"/>
    <w:rsid w:val="0046135B"/>
    <w:rsid w:val="00461D47"/>
    <w:rsid w:val="004718CC"/>
    <w:rsid w:val="00481695"/>
    <w:rsid w:val="00495A96"/>
    <w:rsid w:val="00495BB3"/>
    <w:rsid w:val="00495C9B"/>
    <w:rsid w:val="004A56BB"/>
    <w:rsid w:val="004B1751"/>
    <w:rsid w:val="004B62F8"/>
    <w:rsid w:val="004C0253"/>
    <w:rsid w:val="004C53BD"/>
    <w:rsid w:val="004C5669"/>
    <w:rsid w:val="004D56FF"/>
    <w:rsid w:val="004E39D3"/>
    <w:rsid w:val="004E508A"/>
    <w:rsid w:val="004E616D"/>
    <w:rsid w:val="004E6497"/>
    <w:rsid w:val="004F0E0C"/>
    <w:rsid w:val="004F1BDE"/>
    <w:rsid w:val="004F2CEE"/>
    <w:rsid w:val="004F556E"/>
    <w:rsid w:val="004F7F44"/>
    <w:rsid w:val="005037B4"/>
    <w:rsid w:val="005065CD"/>
    <w:rsid w:val="005075CF"/>
    <w:rsid w:val="005079BF"/>
    <w:rsid w:val="0051269A"/>
    <w:rsid w:val="005219E7"/>
    <w:rsid w:val="00531B9A"/>
    <w:rsid w:val="00531D15"/>
    <w:rsid w:val="005352E2"/>
    <w:rsid w:val="00537604"/>
    <w:rsid w:val="00537F8E"/>
    <w:rsid w:val="00542377"/>
    <w:rsid w:val="005476EB"/>
    <w:rsid w:val="00551401"/>
    <w:rsid w:val="00551782"/>
    <w:rsid w:val="0055736F"/>
    <w:rsid w:val="00563EF1"/>
    <w:rsid w:val="00566AB4"/>
    <w:rsid w:val="00575AC5"/>
    <w:rsid w:val="0057605D"/>
    <w:rsid w:val="00581347"/>
    <w:rsid w:val="00581AC9"/>
    <w:rsid w:val="005849F8"/>
    <w:rsid w:val="005938DF"/>
    <w:rsid w:val="00594E9C"/>
    <w:rsid w:val="005A099B"/>
    <w:rsid w:val="005A2D9C"/>
    <w:rsid w:val="005A55FE"/>
    <w:rsid w:val="005A6A11"/>
    <w:rsid w:val="005D2502"/>
    <w:rsid w:val="005D40BB"/>
    <w:rsid w:val="005D47F3"/>
    <w:rsid w:val="005D49BF"/>
    <w:rsid w:val="005D6F4E"/>
    <w:rsid w:val="005D7C73"/>
    <w:rsid w:val="005E2440"/>
    <w:rsid w:val="005E3ACD"/>
    <w:rsid w:val="005E7226"/>
    <w:rsid w:val="005E7A57"/>
    <w:rsid w:val="005F24B0"/>
    <w:rsid w:val="00604315"/>
    <w:rsid w:val="00604E26"/>
    <w:rsid w:val="006052CF"/>
    <w:rsid w:val="00607B8D"/>
    <w:rsid w:val="00611F5C"/>
    <w:rsid w:val="00616E09"/>
    <w:rsid w:val="00622A3B"/>
    <w:rsid w:val="00622EEA"/>
    <w:rsid w:val="0062396C"/>
    <w:rsid w:val="00623FF9"/>
    <w:rsid w:val="006252DE"/>
    <w:rsid w:val="00627D4E"/>
    <w:rsid w:val="00634478"/>
    <w:rsid w:val="0064210B"/>
    <w:rsid w:val="00644373"/>
    <w:rsid w:val="00645915"/>
    <w:rsid w:val="006519C3"/>
    <w:rsid w:val="00652B30"/>
    <w:rsid w:val="00656345"/>
    <w:rsid w:val="00656DC6"/>
    <w:rsid w:val="00660EC6"/>
    <w:rsid w:val="00664110"/>
    <w:rsid w:val="00664D17"/>
    <w:rsid w:val="00666520"/>
    <w:rsid w:val="00667C5B"/>
    <w:rsid w:val="006734C0"/>
    <w:rsid w:val="00684639"/>
    <w:rsid w:val="00686ADE"/>
    <w:rsid w:val="00692CDE"/>
    <w:rsid w:val="00693073"/>
    <w:rsid w:val="006977FF"/>
    <w:rsid w:val="006A01FA"/>
    <w:rsid w:val="006A0E9E"/>
    <w:rsid w:val="006A25C7"/>
    <w:rsid w:val="006A4AAD"/>
    <w:rsid w:val="006A6DA2"/>
    <w:rsid w:val="006A7AB2"/>
    <w:rsid w:val="006B5717"/>
    <w:rsid w:val="006B582F"/>
    <w:rsid w:val="006C0CEB"/>
    <w:rsid w:val="006C3B1E"/>
    <w:rsid w:val="006C47FD"/>
    <w:rsid w:val="006C5C19"/>
    <w:rsid w:val="006C70A0"/>
    <w:rsid w:val="006D24C2"/>
    <w:rsid w:val="006D27CB"/>
    <w:rsid w:val="006D2F08"/>
    <w:rsid w:val="006D576C"/>
    <w:rsid w:val="006D5865"/>
    <w:rsid w:val="006E4B1B"/>
    <w:rsid w:val="006E5445"/>
    <w:rsid w:val="006E7D93"/>
    <w:rsid w:val="007029A3"/>
    <w:rsid w:val="00706E4E"/>
    <w:rsid w:val="0070791C"/>
    <w:rsid w:val="0071383C"/>
    <w:rsid w:val="007141A7"/>
    <w:rsid w:val="00715722"/>
    <w:rsid w:val="00716440"/>
    <w:rsid w:val="00721032"/>
    <w:rsid w:val="00721B55"/>
    <w:rsid w:val="00726CE4"/>
    <w:rsid w:val="00734143"/>
    <w:rsid w:val="00737E47"/>
    <w:rsid w:val="00740EAC"/>
    <w:rsid w:val="00744956"/>
    <w:rsid w:val="00745A5C"/>
    <w:rsid w:val="0074605F"/>
    <w:rsid w:val="00747E94"/>
    <w:rsid w:val="007504E9"/>
    <w:rsid w:val="00754C83"/>
    <w:rsid w:val="00765DF8"/>
    <w:rsid w:val="00766749"/>
    <w:rsid w:val="00766C79"/>
    <w:rsid w:val="00767C1B"/>
    <w:rsid w:val="007710F7"/>
    <w:rsid w:val="007714A9"/>
    <w:rsid w:val="00774F88"/>
    <w:rsid w:val="00774FDB"/>
    <w:rsid w:val="00777BA2"/>
    <w:rsid w:val="00781408"/>
    <w:rsid w:val="00784F7F"/>
    <w:rsid w:val="007878BD"/>
    <w:rsid w:val="00795A80"/>
    <w:rsid w:val="00796F25"/>
    <w:rsid w:val="007A2E98"/>
    <w:rsid w:val="007A3BA3"/>
    <w:rsid w:val="007A6CC0"/>
    <w:rsid w:val="007A7FEC"/>
    <w:rsid w:val="007B1499"/>
    <w:rsid w:val="007B1BBF"/>
    <w:rsid w:val="007B1E48"/>
    <w:rsid w:val="007B2960"/>
    <w:rsid w:val="007B355D"/>
    <w:rsid w:val="007B7980"/>
    <w:rsid w:val="007C0DEF"/>
    <w:rsid w:val="007C5D5A"/>
    <w:rsid w:val="007C607F"/>
    <w:rsid w:val="007C79DD"/>
    <w:rsid w:val="007D1A97"/>
    <w:rsid w:val="007D2CD6"/>
    <w:rsid w:val="007D3063"/>
    <w:rsid w:val="007D3CEB"/>
    <w:rsid w:val="007E52D7"/>
    <w:rsid w:val="007E6A8A"/>
    <w:rsid w:val="007E7683"/>
    <w:rsid w:val="007F49FA"/>
    <w:rsid w:val="007F54C4"/>
    <w:rsid w:val="007F6E9A"/>
    <w:rsid w:val="008044D4"/>
    <w:rsid w:val="00806B62"/>
    <w:rsid w:val="00810AB4"/>
    <w:rsid w:val="00817B56"/>
    <w:rsid w:val="00821A88"/>
    <w:rsid w:val="0082495D"/>
    <w:rsid w:val="00831AC3"/>
    <w:rsid w:val="00832AC9"/>
    <w:rsid w:val="008408FF"/>
    <w:rsid w:val="00844739"/>
    <w:rsid w:val="008451C7"/>
    <w:rsid w:val="00851F3F"/>
    <w:rsid w:val="00856EDC"/>
    <w:rsid w:val="008623B5"/>
    <w:rsid w:val="00870ABA"/>
    <w:rsid w:val="008710E1"/>
    <w:rsid w:val="008716E5"/>
    <w:rsid w:val="00881CA9"/>
    <w:rsid w:val="00883628"/>
    <w:rsid w:val="00885544"/>
    <w:rsid w:val="0088634E"/>
    <w:rsid w:val="00893AB8"/>
    <w:rsid w:val="008A04C8"/>
    <w:rsid w:val="008A5F73"/>
    <w:rsid w:val="008A6913"/>
    <w:rsid w:val="008B70F3"/>
    <w:rsid w:val="008B76DF"/>
    <w:rsid w:val="008C10F4"/>
    <w:rsid w:val="008C65F7"/>
    <w:rsid w:val="008D6F55"/>
    <w:rsid w:val="008E4767"/>
    <w:rsid w:val="008E7A8C"/>
    <w:rsid w:val="008F45F8"/>
    <w:rsid w:val="00903285"/>
    <w:rsid w:val="00906F40"/>
    <w:rsid w:val="00907029"/>
    <w:rsid w:val="0090731E"/>
    <w:rsid w:val="00915B1C"/>
    <w:rsid w:val="009174F3"/>
    <w:rsid w:val="0091797D"/>
    <w:rsid w:val="00923CBA"/>
    <w:rsid w:val="00926703"/>
    <w:rsid w:val="00927691"/>
    <w:rsid w:val="00927A5F"/>
    <w:rsid w:val="00935B63"/>
    <w:rsid w:val="0094078F"/>
    <w:rsid w:val="00940FA3"/>
    <w:rsid w:val="00941FB0"/>
    <w:rsid w:val="009426D4"/>
    <w:rsid w:val="00947F25"/>
    <w:rsid w:val="00950159"/>
    <w:rsid w:val="0095490B"/>
    <w:rsid w:val="00960A33"/>
    <w:rsid w:val="00971914"/>
    <w:rsid w:val="00974363"/>
    <w:rsid w:val="00980933"/>
    <w:rsid w:val="00981898"/>
    <w:rsid w:val="00994F5C"/>
    <w:rsid w:val="0099577C"/>
    <w:rsid w:val="009A4ACF"/>
    <w:rsid w:val="009B2601"/>
    <w:rsid w:val="009B4234"/>
    <w:rsid w:val="009B4E9E"/>
    <w:rsid w:val="009B51BF"/>
    <w:rsid w:val="009C1690"/>
    <w:rsid w:val="009C6881"/>
    <w:rsid w:val="009C7759"/>
    <w:rsid w:val="009D043D"/>
    <w:rsid w:val="009D07C8"/>
    <w:rsid w:val="009D6C71"/>
    <w:rsid w:val="009E0631"/>
    <w:rsid w:val="009E16D0"/>
    <w:rsid w:val="009E38FD"/>
    <w:rsid w:val="009F13D6"/>
    <w:rsid w:val="009F4C6B"/>
    <w:rsid w:val="009F78A8"/>
    <w:rsid w:val="00A02AD6"/>
    <w:rsid w:val="00A07096"/>
    <w:rsid w:val="00A07318"/>
    <w:rsid w:val="00A11370"/>
    <w:rsid w:val="00A224CE"/>
    <w:rsid w:val="00A22522"/>
    <w:rsid w:val="00A24AFD"/>
    <w:rsid w:val="00A24F5C"/>
    <w:rsid w:val="00A27C06"/>
    <w:rsid w:val="00A32F96"/>
    <w:rsid w:val="00A379E1"/>
    <w:rsid w:val="00A40871"/>
    <w:rsid w:val="00A412AB"/>
    <w:rsid w:val="00A4193E"/>
    <w:rsid w:val="00A440E0"/>
    <w:rsid w:val="00A442EF"/>
    <w:rsid w:val="00A4458C"/>
    <w:rsid w:val="00A51D1A"/>
    <w:rsid w:val="00A5418D"/>
    <w:rsid w:val="00A5474E"/>
    <w:rsid w:val="00A70ADF"/>
    <w:rsid w:val="00A71466"/>
    <w:rsid w:val="00A74B5E"/>
    <w:rsid w:val="00A81BED"/>
    <w:rsid w:val="00A81EC4"/>
    <w:rsid w:val="00A967FD"/>
    <w:rsid w:val="00AB12E0"/>
    <w:rsid w:val="00AB156C"/>
    <w:rsid w:val="00AB1C07"/>
    <w:rsid w:val="00AB6814"/>
    <w:rsid w:val="00AC04BA"/>
    <w:rsid w:val="00AC0E39"/>
    <w:rsid w:val="00AD3082"/>
    <w:rsid w:val="00AD4AD0"/>
    <w:rsid w:val="00AD5436"/>
    <w:rsid w:val="00AD60CD"/>
    <w:rsid w:val="00AD6476"/>
    <w:rsid w:val="00AD6C8C"/>
    <w:rsid w:val="00AE091D"/>
    <w:rsid w:val="00AE3B60"/>
    <w:rsid w:val="00AE53A1"/>
    <w:rsid w:val="00AE7077"/>
    <w:rsid w:val="00AF0D7E"/>
    <w:rsid w:val="00AF2484"/>
    <w:rsid w:val="00AF63E7"/>
    <w:rsid w:val="00AF6E17"/>
    <w:rsid w:val="00B0165D"/>
    <w:rsid w:val="00B01B60"/>
    <w:rsid w:val="00B031F3"/>
    <w:rsid w:val="00B052A4"/>
    <w:rsid w:val="00B125DE"/>
    <w:rsid w:val="00B13FDD"/>
    <w:rsid w:val="00B22EB2"/>
    <w:rsid w:val="00B2512D"/>
    <w:rsid w:val="00B27442"/>
    <w:rsid w:val="00B31167"/>
    <w:rsid w:val="00B329D8"/>
    <w:rsid w:val="00B32BB9"/>
    <w:rsid w:val="00B33AE1"/>
    <w:rsid w:val="00B37C38"/>
    <w:rsid w:val="00B40248"/>
    <w:rsid w:val="00B4288C"/>
    <w:rsid w:val="00B42F1A"/>
    <w:rsid w:val="00B43262"/>
    <w:rsid w:val="00B44100"/>
    <w:rsid w:val="00B46CBA"/>
    <w:rsid w:val="00B46F94"/>
    <w:rsid w:val="00B57BA6"/>
    <w:rsid w:val="00B6003C"/>
    <w:rsid w:val="00B61F03"/>
    <w:rsid w:val="00B626E4"/>
    <w:rsid w:val="00B72F4A"/>
    <w:rsid w:val="00B83C27"/>
    <w:rsid w:val="00B84BC3"/>
    <w:rsid w:val="00B84BDD"/>
    <w:rsid w:val="00B907F7"/>
    <w:rsid w:val="00B90F02"/>
    <w:rsid w:val="00B92812"/>
    <w:rsid w:val="00B937C1"/>
    <w:rsid w:val="00BA2036"/>
    <w:rsid w:val="00BA35F9"/>
    <w:rsid w:val="00BA37F8"/>
    <w:rsid w:val="00BA530C"/>
    <w:rsid w:val="00BB45A1"/>
    <w:rsid w:val="00BB7686"/>
    <w:rsid w:val="00BC23F9"/>
    <w:rsid w:val="00BC3421"/>
    <w:rsid w:val="00BC732C"/>
    <w:rsid w:val="00BD6BF0"/>
    <w:rsid w:val="00BE10E1"/>
    <w:rsid w:val="00BE2580"/>
    <w:rsid w:val="00BE266D"/>
    <w:rsid w:val="00BE3938"/>
    <w:rsid w:val="00BE4C11"/>
    <w:rsid w:val="00BE71C0"/>
    <w:rsid w:val="00BF610C"/>
    <w:rsid w:val="00C0060B"/>
    <w:rsid w:val="00C0277D"/>
    <w:rsid w:val="00C053A1"/>
    <w:rsid w:val="00C11363"/>
    <w:rsid w:val="00C15DA3"/>
    <w:rsid w:val="00C16198"/>
    <w:rsid w:val="00C2083D"/>
    <w:rsid w:val="00C23BF9"/>
    <w:rsid w:val="00C24A53"/>
    <w:rsid w:val="00C34A05"/>
    <w:rsid w:val="00C4032F"/>
    <w:rsid w:val="00C416AA"/>
    <w:rsid w:val="00C42FFE"/>
    <w:rsid w:val="00C43294"/>
    <w:rsid w:val="00C44047"/>
    <w:rsid w:val="00C45155"/>
    <w:rsid w:val="00C5498F"/>
    <w:rsid w:val="00C55235"/>
    <w:rsid w:val="00C64CD0"/>
    <w:rsid w:val="00C6684F"/>
    <w:rsid w:val="00C70E70"/>
    <w:rsid w:val="00C75F8D"/>
    <w:rsid w:val="00C77380"/>
    <w:rsid w:val="00C803AC"/>
    <w:rsid w:val="00C97736"/>
    <w:rsid w:val="00CA345A"/>
    <w:rsid w:val="00CB1E82"/>
    <w:rsid w:val="00CB1F64"/>
    <w:rsid w:val="00CB4BA8"/>
    <w:rsid w:val="00CB52D7"/>
    <w:rsid w:val="00CB7221"/>
    <w:rsid w:val="00CC6732"/>
    <w:rsid w:val="00CE3C96"/>
    <w:rsid w:val="00CE51A8"/>
    <w:rsid w:val="00CF369B"/>
    <w:rsid w:val="00CF41E1"/>
    <w:rsid w:val="00CF4D99"/>
    <w:rsid w:val="00D00259"/>
    <w:rsid w:val="00D00E28"/>
    <w:rsid w:val="00D0269E"/>
    <w:rsid w:val="00D15810"/>
    <w:rsid w:val="00D16D4E"/>
    <w:rsid w:val="00D16FE3"/>
    <w:rsid w:val="00D21747"/>
    <w:rsid w:val="00D27F41"/>
    <w:rsid w:val="00D36441"/>
    <w:rsid w:val="00D4064E"/>
    <w:rsid w:val="00D44E9B"/>
    <w:rsid w:val="00D47AEB"/>
    <w:rsid w:val="00D50DB9"/>
    <w:rsid w:val="00D51302"/>
    <w:rsid w:val="00D52C43"/>
    <w:rsid w:val="00D6007B"/>
    <w:rsid w:val="00D6507F"/>
    <w:rsid w:val="00D730BC"/>
    <w:rsid w:val="00D73912"/>
    <w:rsid w:val="00D85226"/>
    <w:rsid w:val="00D87B94"/>
    <w:rsid w:val="00D92D49"/>
    <w:rsid w:val="00D92EC1"/>
    <w:rsid w:val="00D96DEA"/>
    <w:rsid w:val="00DA4E41"/>
    <w:rsid w:val="00DB117A"/>
    <w:rsid w:val="00DB5173"/>
    <w:rsid w:val="00DB7873"/>
    <w:rsid w:val="00DC187B"/>
    <w:rsid w:val="00DD5A4B"/>
    <w:rsid w:val="00DD6549"/>
    <w:rsid w:val="00DD6DBB"/>
    <w:rsid w:val="00DD73C2"/>
    <w:rsid w:val="00DD771A"/>
    <w:rsid w:val="00DE319B"/>
    <w:rsid w:val="00DF2ABA"/>
    <w:rsid w:val="00DF34FE"/>
    <w:rsid w:val="00DF56AA"/>
    <w:rsid w:val="00DF56AF"/>
    <w:rsid w:val="00DF769C"/>
    <w:rsid w:val="00DF78E7"/>
    <w:rsid w:val="00E110E0"/>
    <w:rsid w:val="00E15371"/>
    <w:rsid w:val="00E24104"/>
    <w:rsid w:val="00E26B7D"/>
    <w:rsid w:val="00E302D0"/>
    <w:rsid w:val="00E35707"/>
    <w:rsid w:val="00E36AA1"/>
    <w:rsid w:val="00E41ECB"/>
    <w:rsid w:val="00E54FDB"/>
    <w:rsid w:val="00E5617D"/>
    <w:rsid w:val="00E563D7"/>
    <w:rsid w:val="00E60573"/>
    <w:rsid w:val="00E663F4"/>
    <w:rsid w:val="00E666F2"/>
    <w:rsid w:val="00E66DD4"/>
    <w:rsid w:val="00E748CC"/>
    <w:rsid w:val="00E75415"/>
    <w:rsid w:val="00E775B1"/>
    <w:rsid w:val="00E8152A"/>
    <w:rsid w:val="00E93629"/>
    <w:rsid w:val="00E93B5C"/>
    <w:rsid w:val="00E94CEC"/>
    <w:rsid w:val="00EA04EF"/>
    <w:rsid w:val="00EA43A0"/>
    <w:rsid w:val="00EA4B86"/>
    <w:rsid w:val="00EA6F19"/>
    <w:rsid w:val="00EB7090"/>
    <w:rsid w:val="00EC1BBE"/>
    <w:rsid w:val="00EC2BDE"/>
    <w:rsid w:val="00EC5CD7"/>
    <w:rsid w:val="00ED148B"/>
    <w:rsid w:val="00ED168B"/>
    <w:rsid w:val="00EE5FB3"/>
    <w:rsid w:val="00EE7F79"/>
    <w:rsid w:val="00EF715A"/>
    <w:rsid w:val="00F03DC3"/>
    <w:rsid w:val="00F04ABD"/>
    <w:rsid w:val="00F06E14"/>
    <w:rsid w:val="00F179D4"/>
    <w:rsid w:val="00F17DC5"/>
    <w:rsid w:val="00F21AC6"/>
    <w:rsid w:val="00F33C56"/>
    <w:rsid w:val="00F347C7"/>
    <w:rsid w:val="00F34848"/>
    <w:rsid w:val="00F42D46"/>
    <w:rsid w:val="00F4496C"/>
    <w:rsid w:val="00F44F3A"/>
    <w:rsid w:val="00F51F10"/>
    <w:rsid w:val="00F529A5"/>
    <w:rsid w:val="00F60F00"/>
    <w:rsid w:val="00F614C0"/>
    <w:rsid w:val="00F83848"/>
    <w:rsid w:val="00F84470"/>
    <w:rsid w:val="00F91DD3"/>
    <w:rsid w:val="00F95885"/>
    <w:rsid w:val="00F975E9"/>
    <w:rsid w:val="00FA1B7D"/>
    <w:rsid w:val="00FA1CC9"/>
    <w:rsid w:val="00FC07B9"/>
    <w:rsid w:val="00FC4E21"/>
    <w:rsid w:val="00FC5F6D"/>
    <w:rsid w:val="00FD0107"/>
    <w:rsid w:val="00FD2C2F"/>
    <w:rsid w:val="00FD3B31"/>
    <w:rsid w:val="00FE1823"/>
    <w:rsid w:val="00FE487A"/>
    <w:rsid w:val="00FF0569"/>
    <w:rsid w:val="00FF17D2"/>
    <w:rsid w:val="00FF206E"/>
    <w:rsid w:val="00FF3C69"/>
    <w:rsid w:val="00FF6E0A"/>
    <w:rsid w:val="00FF79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red,#4d4d4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basedOn w:val="Normal"/>
    <w:next w:val="Normal"/>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qFormat/>
    <w:rsid w:val="00C55235"/>
    <w:pPr>
      <w:keepNext/>
      <w:spacing w:before="320" w:after="60"/>
      <w:outlineLvl w:val="1"/>
    </w:pPr>
    <w:rPr>
      <w:rFonts w:cs="Arial"/>
      <w:b/>
      <w:bCs/>
      <w:iCs/>
      <w:sz w:val="28"/>
      <w:szCs w:val="28"/>
    </w:rPr>
  </w:style>
  <w:style w:type="paragraph" w:styleId="Heading3">
    <w:name w:val="heading 3"/>
    <w:basedOn w:val="Normal"/>
    <w:next w:val="Normal"/>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basedOn w:val="Normal"/>
    <w:link w:val="FootnoteTextChar"/>
    <w:semiHidden/>
    <w:rsid w:val="00566AB4"/>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paragraph" w:styleId="Index3">
    <w:name w:val="index 3"/>
    <w:basedOn w:val="Normal"/>
    <w:next w:val="Normal"/>
    <w:autoRedefine/>
    <w:rsid w:val="001F1A7A"/>
    <w:pPr>
      <w:spacing w:after="0" w:line="240" w:lineRule="auto"/>
      <w:ind w:left="600" w:hanging="200"/>
    </w:pPr>
  </w:style>
  <w:style w:type="character" w:customStyle="1" w:styleId="FootnoteTextChar">
    <w:name w:val="Footnote Text Char"/>
    <w:basedOn w:val="DefaultParagraphFont"/>
    <w:link w:val="FootnoteText"/>
    <w:semiHidden/>
    <w:rsid w:val="001F1A7A"/>
    <w:rPr>
      <w:rFonts w:ascii="Arial" w:hAnsi="Arial"/>
      <w:sz w:val="16"/>
      <w:szCs w:val="16"/>
    </w:rPr>
  </w:style>
  <w:style w:type="table" w:styleId="GridTable5Dark-Accent1">
    <w:name w:val="Grid Table 5 Dark Accent 1"/>
    <w:basedOn w:val="TableNormal"/>
    <w:uiPriority w:val="50"/>
    <w:rsid w:val="005065C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semiHidden/>
    <w:rsid w:val="004B62F8"/>
    <w:rPr>
      <w:rFonts w:ascii="Arial" w:hAnsi="Arial"/>
      <w:sz w:val="20"/>
    </w:rPr>
  </w:style>
  <w:style w:type="table" w:styleId="GridTable4">
    <w:name w:val="Grid Table 4"/>
    <w:basedOn w:val="TableNormal"/>
    <w:uiPriority w:val="49"/>
    <w:rsid w:val="004B62F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eativecommons.org/licenses/by/3.0/au/" TargetMode="Externa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4.jp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s://www.communications.gov.au/what-we-do/spectrum/spectrum-review"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andinfo@acma.gov.au" TargetMode="External"/><Relationship Id="rId22" Type="http://schemas.openxmlformats.org/officeDocument/2006/relationships/footer" Target="footer5.xml"/><Relationship Id="rId27" Type="http://schemas.openxmlformats.org/officeDocument/2006/relationships/hyperlink" Target="http://www.acma.gov.au/Industry/Suppliers/Product-supply-and-compliance/Supplier-resources/compliance-program" TargetMode="External"/><Relationship Id="rId30" Type="http://schemas.openxmlformats.org/officeDocument/2006/relationships/hyperlink" Target="mailto:Governance@acma.gov.au"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cisco.com/c/en/us/solutions/collateral/service-provider/ip-ngn-ip-next-generation-network/white_paper_c11-48136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59CB2-9ACF-40C6-8924-1B5AFC78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7527</Words>
  <Characters>42908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50335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2016-08-29T00:27:00Z</dcterms:created>
  <dcterms:modified xsi:type="dcterms:W3CDTF">2016-08-29T00:29:00Z</dcterms:modified>
  <cp:category/>
</cp:coreProperties>
</file>