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F49C" w14:textId="77777777" w:rsidR="00A6709A" w:rsidRDefault="00A6709A" w:rsidP="00A6709A">
      <w:pPr>
        <w:pStyle w:val="ACMAReportTitle"/>
      </w:pPr>
      <w:bookmarkStart w:id="0" w:name="_GoBack"/>
      <w:bookmarkEnd w:id="0"/>
      <w:r>
        <w:t>Five-year spectrum outlook</w:t>
      </w:r>
    </w:p>
    <w:p w14:paraId="5FE5D78A" w14:textId="77777777" w:rsidR="00F06E14" w:rsidRPr="00A51D1A" w:rsidRDefault="00A6709A" w:rsidP="00A51D1A">
      <w:pPr>
        <w:pStyle w:val="ACMAReportTitle"/>
      </w:pPr>
      <w:r>
        <w:t>201</w:t>
      </w:r>
      <w:r w:rsidR="009F02BC">
        <w:t>8</w:t>
      </w:r>
      <w:r>
        <w:t>–2</w:t>
      </w:r>
      <w:r w:rsidR="009F02BC">
        <w:t>2</w:t>
      </w:r>
    </w:p>
    <w:p w14:paraId="0F8AC54B" w14:textId="77777777" w:rsidR="00F06E14" w:rsidRDefault="00A6709A" w:rsidP="00F06E14">
      <w:pPr>
        <w:pStyle w:val="ACMAReportSubTitle"/>
      </w:pPr>
      <w:r w:rsidRPr="00524B01">
        <w:t>The ACMA’s spectrum management work</w:t>
      </w:r>
      <w:r w:rsidR="007B0B47">
        <w:t> </w:t>
      </w:r>
      <w:r w:rsidRPr="00524B01">
        <w:t>progra</w:t>
      </w:r>
      <w:r w:rsidR="00883511">
        <w:t>m—</w:t>
      </w:r>
      <w:r w:rsidR="00E46B0D">
        <w:t>final</w:t>
      </w:r>
    </w:p>
    <w:p w14:paraId="59BF80E5" w14:textId="17B73872" w:rsidR="00F06E14" w:rsidRDefault="00CC1371" w:rsidP="003428B2">
      <w:pPr>
        <w:pStyle w:val="ACMAReportDate"/>
        <w:spacing w:after="240"/>
      </w:pPr>
      <w:r>
        <w:t>SEPTEMBER</w:t>
      </w:r>
      <w:r w:rsidR="00E46B0D" w:rsidRPr="00B30DBE">
        <w:t xml:space="preserve"> </w:t>
      </w:r>
      <w:r w:rsidR="00A6709A" w:rsidRPr="00B30DBE">
        <w:t>201</w:t>
      </w:r>
      <w:r w:rsidR="009F02BC" w:rsidRPr="00B30DBE">
        <w:t>8</w:t>
      </w:r>
    </w:p>
    <w:p w14:paraId="6AFD1C18" w14:textId="77AF1699" w:rsidR="003428B2" w:rsidRDefault="003428B2" w:rsidP="00D47AEB">
      <w:pPr>
        <w:pStyle w:val="ACMAReportDate"/>
        <w:spacing w:after="720"/>
      </w:pPr>
      <w:r>
        <w:t xml:space="preserve">VERSION </w:t>
      </w:r>
      <w:r w:rsidR="00921A28">
        <w:t>1</w:t>
      </w:r>
      <w:r>
        <w:t>.1</w:t>
      </w:r>
    </w:p>
    <w:p w14:paraId="22C0C94E" w14:textId="77777777" w:rsidR="00C97736" w:rsidRPr="00D3165D" w:rsidRDefault="00D3165D" w:rsidP="00C7245A">
      <w:pPr>
        <w:rPr>
          <w:rFonts w:cs="Arial"/>
        </w:rPr>
        <w:sectPr w:rsidR="00C97736" w:rsidRPr="00D3165D" w:rsidSect="00760066">
          <w:headerReference w:type="default" r:id="rId8"/>
          <w:footerReference w:type="default" r:id="rId9"/>
          <w:headerReference w:type="first" r:id="rId10"/>
          <w:pgSz w:w="11906" w:h="16838" w:code="9"/>
          <w:pgMar w:top="3924" w:right="1797" w:bottom="1440" w:left="1134" w:header="709" w:footer="454" w:gutter="0"/>
          <w:cols w:space="708"/>
          <w:docGrid w:linePitch="360"/>
        </w:sectPr>
      </w:pPr>
      <w:r>
        <w:rPr>
          <w:rFonts w:cs="Arial"/>
        </w:rPr>
        <w:tab/>
      </w:r>
    </w:p>
    <w:p w14:paraId="58F76F54" w14:textId="77777777" w:rsidR="0005011A" w:rsidRPr="00F44F3A" w:rsidRDefault="0005011A" w:rsidP="00C7245A">
      <w:pPr>
        <w:pStyle w:val="ACMACorporateAddressHeader"/>
      </w:pPr>
      <w:r w:rsidRPr="00F44F3A">
        <w:lastRenderedPageBreak/>
        <w:t>Canberra</w:t>
      </w:r>
      <w:r w:rsidR="00D3165D">
        <w:tab/>
      </w:r>
    </w:p>
    <w:p w14:paraId="2776D9FC"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159564AD" w14:textId="77777777" w:rsidR="0005011A" w:rsidRPr="00FC07B9" w:rsidRDefault="0005011A" w:rsidP="00FC07B9">
      <w:pPr>
        <w:pStyle w:val="ACMACorporateAddresses"/>
      </w:pPr>
      <w:r w:rsidRPr="00FC07B9">
        <w:t>PO Box 78</w:t>
      </w:r>
      <w:r w:rsidRPr="00FC07B9">
        <w:br/>
        <w:t>Belconnen ACT 2616</w:t>
      </w:r>
    </w:p>
    <w:p w14:paraId="1F44094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1025C19E" w14:textId="77777777" w:rsidR="0005011A" w:rsidRPr="00F44F3A" w:rsidRDefault="0005011A" w:rsidP="00FC07B9">
      <w:pPr>
        <w:pStyle w:val="ACMACorporateAddressHeader"/>
      </w:pPr>
      <w:r w:rsidRPr="00F44F3A">
        <w:t>Melbourne</w:t>
      </w:r>
    </w:p>
    <w:p w14:paraId="13817A6E"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694291FE"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9E7BAC7"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09F547A7" w14:textId="77777777" w:rsidR="0005011A" w:rsidRPr="00F44F3A" w:rsidRDefault="0005011A" w:rsidP="00FC07B9">
      <w:pPr>
        <w:pStyle w:val="ACMACorporateAddressHeader"/>
      </w:pPr>
      <w:r w:rsidRPr="00F44F3A">
        <w:t>Sydney</w:t>
      </w:r>
    </w:p>
    <w:p w14:paraId="21CA7F9A"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08DF7AE"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163CC05"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C968E65" w14:textId="77777777" w:rsidR="00140318" w:rsidRPr="006D46E5" w:rsidRDefault="00140318" w:rsidP="00FC07B9">
      <w:pPr>
        <w:pStyle w:val="ACMACopyrightHeader"/>
      </w:pPr>
      <w:r w:rsidRPr="00140318">
        <w:t>Copyright notice</w:t>
      </w:r>
    </w:p>
    <w:p w14:paraId="76E18378" w14:textId="77777777" w:rsidR="00140318" w:rsidRPr="006D46E5" w:rsidRDefault="00623FF9" w:rsidP="00623FF9">
      <w:pPr>
        <w:pStyle w:val="ACMACClogo"/>
      </w:pPr>
      <w:r w:rsidRPr="00623FF9">
        <w:rPr>
          <w:noProof/>
        </w:rPr>
        <w:drawing>
          <wp:inline distT="0" distB="0" distL="0" distR="0" wp14:anchorId="7214B564" wp14:editId="1F7FBAF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47D7713" w14:textId="77777777" w:rsidR="00A140B6" w:rsidRDefault="009B17F9" w:rsidP="00A140B6">
      <w:pPr>
        <w:pStyle w:val="ACMACorporateAddresses"/>
        <w:rPr>
          <w:rStyle w:val="Hyperlink"/>
        </w:rPr>
      </w:pPr>
      <w:hyperlink r:id="rId13" w:history="1">
        <w:r w:rsidR="00A140B6">
          <w:rPr>
            <w:rStyle w:val="Hyperlink"/>
          </w:rPr>
          <w:t>https://creativecommons.org/licenses/by/4.0//</w:t>
        </w:r>
      </w:hyperlink>
    </w:p>
    <w:p w14:paraId="1C4DDDB6" w14:textId="77777777" w:rsidR="00A140B6" w:rsidRPr="006D46E5" w:rsidRDefault="00A140B6" w:rsidP="00A140B6">
      <w:pPr>
        <w:pStyle w:val="ACMACorporateAddresses"/>
      </w:pPr>
      <w:r w:rsidRPr="006D46E5">
        <w:t xml:space="preserve">With the exception of coats of arms, logos, emblems, images, other third-party material or devices protected by a trademark, this content is </w:t>
      </w:r>
      <w:r>
        <w:t>made available</w:t>
      </w:r>
      <w:r w:rsidRPr="006D46E5">
        <w:t xml:space="preserve"> under the </w:t>
      </w:r>
      <w:r>
        <w:t xml:space="preserve">terms of the </w:t>
      </w:r>
      <w:r w:rsidRPr="006D46E5">
        <w:t xml:space="preserve">Creative Commons Attribution </w:t>
      </w:r>
      <w:r>
        <w:t>4</w:t>
      </w:r>
      <w:r w:rsidRPr="006D46E5">
        <w:t xml:space="preserve">.0 </w:t>
      </w:r>
      <w:r>
        <w:t>International (CC BY 4.0) licence</w:t>
      </w:r>
      <w:r w:rsidRPr="006D46E5">
        <w:t xml:space="preserve">. </w:t>
      </w:r>
    </w:p>
    <w:p w14:paraId="723F3F5E" w14:textId="77777777" w:rsidR="00A140B6" w:rsidRPr="006D46E5" w:rsidRDefault="00A140B6" w:rsidP="00A140B6">
      <w:pPr>
        <w:pStyle w:val="ACMACorporateAddresses"/>
      </w:pPr>
      <w:r>
        <w:t>We request attribution as</w:t>
      </w:r>
      <w:r w:rsidRPr="006D46E5">
        <w:t xml:space="preserve"> © Commonwealth of Australia (Australian Communic</w:t>
      </w:r>
      <w:r>
        <w:t>ations and Media Authority) 2018</w:t>
      </w:r>
      <w:r w:rsidRPr="006D46E5">
        <w:t>.</w:t>
      </w:r>
    </w:p>
    <w:p w14:paraId="7F6EF873" w14:textId="77777777" w:rsidR="00140318" w:rsidRPr="006D46E5" w:rsidRDefault="00140318" w:rsidP="00FC07B9">
      <w:pPr>
        <w:pStyle w:val="ACMACorporateAddresses"/>
      </w:pPr>
      <w:r>
        <w:t>All other rights are reserved.</w:t>
      </w:r>
    </w:p>
    <w:p w14:paraId="5F3E44FE"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2E9AFCB" w14:textId="77777777" w:rsidR="00140318" w:rsidRPr="006D46E5" w:rsidRDefault="00140318" w:rsidP="00FC07B9">
      <w:pPr>
        <w:pStyle w:val="ACMACorporateAddresses"/>
      </w:pPr>
      <w:r w:rsidRPr="006D46E5">
        <w:t>Written enquiries may be sent to:</w:t>
      </w:r>
    </w:p>
    <w:p w14:paraId="0A09F1B1"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4" w:history="1">
        <w:r w:rsidR="000A1400" w:rsidRPr="00826BEB">
          <w:rPr>
            <w:rStyle w:val="Hyperlink"/>
          </w:rPr>
          <w:t>info@acma.gov.au</w:t>
        </w:r>
      </w:hyperlink>
    </w:p>
    <w:p w14:paraId="3A89B8FE" w14:textId="77777777" w:rsidR="00D16FE3" w:rsidRDefault="00D16FE3" w:rsidP="00D16FE3">
      <w:pPr>
        <w:pStyle w:val="ACMACorporateAddresses"/>
        <w:rPr>
          <w:rStyle w:val="Hyperlink"/>
        </w:rPr>
      </w:pPr>
    </w:p>
    <w:p w14:paraId="508AA9C3" w14:textId="77777777" w:rsidR="00D16FE3" w:rsidRPr="00D16FE3" w:rsidRDefault="00D16FE3" w:rsidP="00D16FE3">
      <w:pPr>
        <w:pStyle w:val="ACMACorporateAddresses"/>
        <w:sectPr w:rsidR="00D16FE3" w:rsidRPr="00D16FE3" w:rsidSect="00760066">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E6AB606" w14:textId="4EA13A77" w:rsidR="002E32BA" w:rsidRDefault="002E32BA">
      <w:pPr>
        <w:pStyle w:val="TOC1"/>
        <w:rPr>
          <w:rFonts w:asciiTheme="minorHAnsi" w:eastAsiaTheme="minorEastAsia" w:hAnsiTheme="minorHAnsi" w:cstheme="minorBidi"/>
          <w:b w:val="0"/>
          <w:spacing w:val="0"/>
          <w:sz w:val="22"/>
          <w:szCs w:val="22"/>
        </w:rPr>
      </w:pPr>
      <w:r>
        <w:rPr>
          <w:rFonts w:cs="Arial"/>
          <w:sz w:val="26"/>
          <w:szCs w:val="26"/>
        </w:rPr>
        <w:lastRenderedPageBreak/>
        <w:fldChar w:fldCharType="begin"/>
      </w:r>
      <w:r>
        <w:rPr>
          <w:rFonts w:cs="Arial"/>
          <w:sz w:val="26"/>
          <w:szCs w:val="26"/>
        </w:rPr>
        <w:instrText xml:space="preserve"> TOC \o "1-3" \h \z \t "ACMA_ExecSummaryHeading,1" </w:instrText>
      </w:r>
      <w:r>
        <w:rPr>
          <w:rFonts w:cs="Arial"/>
          <w:sz w:val="26"/>
          <w:szCs w:val="26"/>
        </w:rPr>
        <w:fldChar w:fldCharType="separate"/>
      </w:r>
      <w:hyperlink w:anchor="_Toc524517075" w:history="1">
        <w:r w:rsidRPr="00E077F6">
          <w:rPr>
            <w:rStyle w:val="Hyperlink"/>
          </w:rPr>
          <w:t>Foreword</w:t>
        </w:r>
        <w:r>
          <w:rPr>
            <w:webHidden/>
          </w:rPr>
          <w:tab/>
        </w:r>
        <w:r>
          <w:rPr>
            <w:webHidden/>
          </w:rPr>
          <w:fldChar w:fldCharType="begin"/>
        </w:r>
        <w:r>
          <w:rPr>
            <w:webHidden/>
          </w:rPr>
          <w:instrText xml:space="preserve"> PAGEREF _Toc524517075 \h </w:instrText>
        </w:r>
        <w:r>
          <w:rPr>
            <w:webHidden/>
          </w:rPr>
        </w:r>
        <w:r>
          <w:rPr>
            <w:webHidden/>
          </w:rPr>
          <w:fldChar w:fldCharType="separate"/>
        </w:r>
        <w:r w:rsidR="00225A35">
          <w:rPr>
            <w:webHidden/>
          </w:rPr>
          <w:t>1</w:t>
        </w:r>
        <w:r>
          <w:rPr>
            <w:webHidden/>
          </w:rPr>
          <w:fldChar w:fldCharType="end"/>
        </w:r>
      </w:hyperlink>
    </w:p>
    <w:p w14:paraId="2ED5AE84" w14:textId="65EBD8A5" w:rsidR="002E32BA" w:rsidRDefault="009B17F9">
      <w:pPr>
        <w:pStyle w:val="TOC2"/>
        <w:rPr>
          <w:rFonts w:asciiTheme="minorHAnsi" w:eastAsiaTheme="minorEastAsia" w:hAnsiTheme="minorHAnsi" w:cstheme="minorBidi"/>
          <w:spacing w:val="0"/>
          <w:sz w:val="22"/>
          <w:szCs w:val="22"/>
        </w:rPr>
      </w:pPr>
      <w:hyperlink w:anchor="_Toc524517076" w:history="1">
        <w:r w:rsidR="002E32BA" w:rsidRPr="00E077F6">
          <w:rPr>
            <w:rStyle w:val="Hyperlink"/>
          </w:rPr>
          <w:t>Focus of changes made in response to submissions</w:t>
        </w:r>
        <w:r w:rsidR="002E32BA">
          <w:rPr>
            <w:webHidden/>
          </w:rPr>
          <w:tab/>
        </w:r>
        <w:r w:rsidR="002E32BA">
          <w:rPr>
            <w:webHidden/>
          </w:rPr>
          <w:fldChar w:fldCharType="begin"/>
        </w:r>
        <w:r w:rsidR="002E32BA">
          <w:rPr>
            <w:webHidden/>
          </w:rPr>
          <w:instrText xml:space="preserve"> PAGEREF _Toc524517076 \h </w:instrText>
        </w:r>
        <w:r w:rsidR="002E32BA">
          <w:rPr>
            <w:webHidden/>
          </w:rPr>
        </w:r>
        <w:r w:rsidR="002E32BA">
          <w:rPr>
            <w:webHidden/>
          </w:rPr>
          <w:fldChar w:fldCharType="separate"/>
        </w:r>
        <w:r w:rsidR="00225A35">
          <w:rPr>
            <w:webHidden/>
          </w:rPr>
          <w:t>1</w:t>
        </w:r>
        <w:r w:rsidR="002E32BA">
          <w:rPr>
            <w:webHidden/>
          </w:rPr>
          <w:fldChar w:fldCharType="end"/>
        </w:r>
      </w:hyperlink>
    </w:p>
    <w:p w14:paraId="5694C97B" w14:textId="5BEB1F6D" w:rsidR="002E32BA" w:rsidRDefault="009B17F9">
      <w:pPr>
        <w:pStyle w:val="TOC2"/>
        <w:rPr>
          <w:rFonts w:asciiTheme="minorHAnsi" w:eastAsiaTheme="minorEastAsia" w:hAnsiTheme="minorHAnsi" w:cstheme="minorBidi"/>
          <w:spacing w:val="0"/>
          <w:sz w:val="22"/>
          <w:szCs w:val="22"/>
        </w:rPr>
      </w:pPr>
      <w:hyperlink w:anchor="_Toc524517077" w:history="1">
        <w:r w:rsidR="002E32BA" w:rsidRPr="00E077F6">
          <w:rPr>
            <w:rStyle w:val="Hyperlink"/>
          </w:rPr>
          <w:t>Activities progressed since the draft FYSO release</w:t>
        </w:r>
        <w:r w:rsidR="002E32BA">
          <w:rPr>
            <w:webHidden/>
          </w:rPr>
          <w:tab/>
        </w:r>
        <w:r w:rsidR="002E32BA">
          <w:rPr>
            <w:webHidden/>
          </w:rPr>
          <w:fldChar w:fldCharType="begin"/>
        </w:r>
        <w:r w:rsidR="002E32BA">
          <w:rPr>
            <w:webHidden/>
          </w:rPr>
          <w:instrText xml:space="preserve"> PAGEREF _Toc524517077 \h </w:instrText>
        </w:r>
        <w:r w:rsidR="002E32BA">
          <w:rPr>
            <w:webHidden/>
          </w:rPr>
        </w:r>
        <w:r w:rsidR="002E32BA">
          <w:rPr>
            <w:webHidden/>
          </w:rPr>
          <w:fldChar w:fldCharType="separate"/>
        </w:r>
        <w:r w:rsidR="00225A35">
          <w:rPr>
            <w:webHidden/>
          </w:rPr>
          <w:t>3</w:t>
        </w:r>
        <w:r w:rsidR="002E32BA">
          <w:rPr>
            <w:webHidden/>
          </w:rPr>
          <w:fldChar w:fldCharType="end"/>
        </w:r>
      </w:hyperlink>
    </w:p>
    <w:p w14:paraId="2502511F" w14:textId="2D3E3834" w:rsidR="002E32BA" w:rsidRDefault="009B17F9">
      <w:pPr>
        <w:pStyle w:val="TOC1"/>
        <w:rPr>
          <w:rFonts w:asciiTheme="minorHAnsi" w:eastAsiaTheme="minorEastAsia" w:hAnsiTheme="minorHAnsi" w:cstheme="minorBidi"/>
          <w:b w:val="0"/>
          <w:spacing w:val="0"/>
          <w:sz w:val="22"/>
          <w:szCs w:val="22"/>
        </w:rPr>
      </w:pPr>
      <w:hyperlink w:anchor="_Toc524517078" w:history="1">
        <w:r w:rsidR="002E32BA" w:rsidRPr="00E077F6">
          <w:rPr>
            <w:rStyle w:val="Hyperlink"/>
          </w:rPr>
          <w:t>At a glance—2018–19 work program</w:t>
        </w:r>
        <w:r w:rsidR="002E32BA">
          <w:rPr>
            <w:webHidden/>
          </w:rPr>
          <w:tab/>
        </w:r>
        <w:r w:rsidR="002E32BA">
          <w:rPr>
            <w:webHidden/>
          </w:rPr>
          <w:fldChar w:fldCharType="begin"/>
        </w:r>
        <w:r w:rsidR="002E32BA">
          <w:rPr>
            <w:webHidden/>
          </w:rPr>
          <w:instrText xml:space="preserve"> PAGEREF _Toc524517078 \h </w:instrText>
        </w:r>
        <w:r w:rsidR="002E32BA">
          <w:rPr>
            <w:webHidden/>
          </w:rPr>
        </w:r>
        <w:r w:rsidR="002E32BA">
          <w:rPr>
            <w:webHidden/>
          </w:rPr>
          <w:fldChar w:fldCharType="separate"/>
        </w:r>
        <w:r w:rsidR="00225A35">
          <w:rPr>
            <w:webHidden/>
          </w:rPr>
          <w:t>4</w:t>
        </w:r>
        <w:r w:rsidR="002E32BA">
          <w:rPr>
            <w:webHidden/>
          </w:rPr>
          <w:fldChar w:fldCharType="end"/>
        </w:r>
      </w:hyperlink>
    </w:p>
    <w:p w14:paraId="64EED924" w14:textId="3E916AD9" w:rsidR="002E32BA" w:rsidRDefault="009B17F9">
      <w:pPr>
        <w:pStyle w:val="TOC2"/>
        <w:rPr>
          <w:rFonts w:asciiTheme="minorHAnsi" w:eastAsiaTheme="minorEastAsia" w:hAnsiTheme="minorHAnsi" w:cstheme="minorBidi"/>
          <w:spacing w:val="0"/>
          <w:sz w:val="22"/>
          <w:szCs w:val="22"/>
        </w:rPr>
      </w:pPr>
      <w:hyperlink w:anchor="_Toc524517079" w:history="1">
        <w:r w:rsidR="002E32BA" w:rsidRPr="00E077F6">
          <w:rPr>
            <w:rStyle w:val="Hyperlink"/>
          </w:rPr>
          <w:t>Ongoing feedback on the FYSO is welcome</w:t>
        </w:r>
        <w:r w:rsidR="002E32BA">
          <w:rPr>
            <w:webHidden/>
          </w:rPr>
          <w:tab/>
        </w:r>
        <w:r w:rsidR="002E32BA">
          <w:rPr>
            <w:webHidden/>
          </w:rPr>
          <w:fldChar w:fldCharType="begin"/>
        </w:r>
        <w:r w:rsidR="002E32BA">
          <w:rPr>
            <w:webHidden/>
          </w:rPr>
          <w:instrText xml:space="preserve"> PAGEREF _Toc524517079 \h </w:instrText>
        </w:r>
        <w:r w:rsidR="002E32BA">
          <w:rPr>
            <w:webHidden/>
          </w:rPr>
        </w:r>
        <w:r w:rsidR="002E32BA">
          <w:rPr>
            <w:webHidden/>
          </w:rPr>
          <w:fldChar w:fldCharType="separate"/>
        </w:r>
        <w:r w:rsidR="00225A35">
          <w:rPr>
            <w:webHidden/>
          </w:rPr>
          <w:t>10</w:t>
        </w:r>
        <w:r w:rsidR="002E32BA">
          <w:rPr>
            <w:webHidden/>
          </w:rPr>
          <w:fldChar w:fldCharType="end"/>
        </w:r>
      </w:hyperlink>
    </w:p>
    <w:p w14:paraId="3A0D33D6" w14:textId="4809B7E6" w:rsidR="002E32BA" w:rsidRDefault="009B17F9">
      <w:pPr>
        <w:pStyle w:val="TOC1"/>
        <w:rPr>
          <w:rFonts w:asciiTheme="minorHAnsi" w:eastAsiaTheme="minorEastAsia" w:hAnsiTheme="minorHAnsi" w:cstheme="minorBidi"/>
          <w:b w:val="0"/>
          <w:spacing w:val="0"/>
          <w:sz w:val="22"/>
          <w:szCs w:val="22"/>
        </w:rPr>
      </w:pPr>
      <w:hyperlink w:anchor="_Toc524517080" w:history="1">
        <w:r w:rsidR="002E32BA" w:rsidRPr="00E077F6">
          <w:rPr>
            <w:rStyle w:val="Hyperlink"/>
            <w:rFonts w:eastAsiaTheme="majorEastAsia"/>
          </w:rPr>
          <w:t>Part 1—Five-year spectrum outlook</w:t>
        </w:r>
        <w:r w:rsidR="002E32BA">
          <w:rPr>
            <w:webHidden/>
          </w:rPr>
          <w:tab/>
        </w:r>
        <w:r w:rsidR="002E32BA">
          <w:rPr>
            <w:webHidden/>
          </w:rPr>
          <w:fldChar w:fldCharType="begin"/>
        </w:r>
        <w:r w:rsidR="002E32BA">
          <w:rPr>
            <w:webHidden/>
          </w:rPr>
          <w:instrText xml:space="preserve"> PAGEREF _Toc524517080 \h </w:instrText>
        </w:r>
        <w:r w:rsidR="002E32BA">
          <w:rPr>
            <w:webHidden/>
          </w:rPr>
        </w:r>
        <w:r w:rsidR="002E32BA">
          <w:rPr>
            <w:webHidden/>
          </w:rPr>
          <w:fldChar w:fldCharType="separate"/>
        </w:r>
        <w:r w:rsidR="00225A35">
          <w:rPr>
            <w:webHidden/>
          </w:rPr>
          <w:t>11</w:t>
        </w:r>
        <w:r w:rsidR="002E32BA">
          <w:rPr>
            <w:webHidden/>
          </w:rPr>
          <w:fldChar w:fldCharType="end"/>
        </w:r>
      </w:hyperlink>
    </w:p>
    <w:p w14:paraId="278A78F4" w14:textId="44C09F5D" w:rsidR="002E32BA" w:rsidRDefault="009B17F9">
      <w:pPr>
        <w:pStyle w:val="TOC2"/>
        <w:rPr>
          <w:rFonts w:asciiTheme="minorHAnsi" w:eastAsiaTheme="minorEastAsia" w:hAnsiTheme="minorHAnsi" w:cstheme="minorBidi"/>
          <w:spacing w:val="0"/>
          <w:sz w:val="22"/>
          <w:szCs w:val="22"/>
        </w:rPr>
      </w:pPr>
      <w:hyperlink w:anchor="_Toc524517081" w:history="1">
        <w:r w:rsidR="002E32BA" w:rsidRPr="00E077F6">
          <w:rPr>
            <w:rStyle w:val="Hyperlink"/>
            <w:rFonts w:eastAsiaTheme="majorEastAsia"/>
          </w:rPr>
          <w:t>Introduction</w:t>
        </w:r>
        <w:r w:rsidR="002E32BA">
          <w:rPr>
            <w:webHidden/>
          </w:rPr>
          <w:tab/>
        </w:r>
        <w:r w:rsidR="002E32BA">
          <w:rPr>
            <w:webHidden/>
          </w:rPr>
          <w:fldChar w:fldCharType="begin"/>
        </w:r>
        <w:r w:rsidR="002E32BA">
          <w:rPr>
            <w:webHidden/>
          </w:rPr>
          <w:instrText xml:space="preserve"> PAGEREF _Toc524517081 \h </w:instrText>
        </w:r>
        <w:r w:rsidR="002E32BA">
          <w:rPr>
            <w:webHidden/>
          </w:rPr>
        </w:r>
        <w:r w:rsidR="002E32BA">
          <w:rPr>
            <w:webHidden/>
          </w:rPr>
          <w:fldChar w:fldCharType="separate"/>
        </w:r>
        <w:r w:rsidR="00225A35">
          <w:rPr>
            <w:webHidden/>
          </w:rPr>
          <w:t>11</w:t>
        </w:r>
        <w:r w:rsidR="002E32BA">
          <w:rPr>
            <w:webHidden/>
          </w:rPr>
          <w:fldChar w:fldCharType="end"/>
        </w:r>
      </w:hyperlink>
    </w:p>
    <w:p w14:paraId="064EE4D0" w14:textId="41EACA0D" w:rsidR="002E32BA" w:rsidRDefault="009B17F9">
      <w:pPr>
        <w:pStyle w:val="TOC2"/>
        <w:rPr>
          <w:rFonts w:asciiTheme="minorHAnsi" w:eastAsiaTheme="minorEastAsia" w:hAnsiTheme="minorHAnsi" w:cstheme="minorBidi"/>
          <w:spacing w:val="0"/>
          <w:sz w:val="22"/>
          <w:szCs w:val="22"/>
        </w:rPr>
      </w:pPr>
      <w:hyperlink w:anchor="_Toc524517082" w:history="1">
        <w:r w:rsidR="002E32BA" w:rsidRPr="00E077F6">
          <w:rPr>
            <w:rStyle w:val="Hyperlink"/>
          </w:rPr>
          <w:t>Anticipated change drivers</w:t>
        </w:r>
        <w:r w:rsidR="002E32BA">
          <w:rPr>
            <w:webHidden/>
          </w:rPr>
          <w:tab/>
        </w:r>
        <w:r w:rsidR="002E32BA">
          <w:rPr>
            <w:webHidden/>
          </w:rPr>
          <w:fldChar w:fldCharType="begin"/>
        </w:r>
        <w:r w:rsidR="002E32BA">
          <w:rPr>
            <w:webHidden/>
          </w:rPr>
          <w:instrText xml:space="preserve"> PAGEREF _Toc524517082 \h </w:instrText>
        </w:r>
        <w:r w:rsidR="002E32BA">
          <w:rPr>
            <w:webHidden/>
          </w:rPr>
        </w:r>
        <w:r w:rsidR="002E32BA">
          <w:rPr>
            <w:webHidden/>
          </w:rPr>
          <w:fldChar w:fldCharType="separate"/>
        </w:r>
        <w:r w:rsidR="00225A35">
          <w:rPr>
            <w:webHidden/>
          </w:rPr>
          <w:t>11</w:t>
        </w:r>
        <w:r w:rsidR="002E32BA">
          <w:rPr>
            <w:webHidden/>
          </w:rPr>
          <w:fldChar w:fldCharType="end"/>
        </w:r>
      </w:hyperlink>
    </w:p>
    <w:p w14:paraId="1BACAD92" w14:textId="71E3095C" w:rsidR="002E32BA" w:rsidRDefault="009B17F9">
      <w:pPr>
        <w:pStyle w:val="TOC3"/>
        <w:rPr>
          <w:rFonts w:asciiTheme="minorHAnsi" w:eastAsiaTheme="minorEastAsia" w:hAnsiTheme="minorHAnsi" w:cstheme="minorBidi"/>
        </w:rPr>
      </w:pPr>
      <w:hyperlink w:anchor="_Toc524517083" w:history="1">
        <w:r w:rsidR="002E32BA" w:rsidRPr="00E077F6">
          <w:rPr>
            <w:rStyle w:val="Hyperlink"/>
          </w:rPr>
          <w:t>Wireless broadband, including 5G</w:t>
        </w:r>
        <w:r w:rsidR="002E32BA">
          <w:rPr>
            <w:webHidden/>
          </w:rPr>
          <w:tab/>
        </w:r>
        <w:r w:rsidR="002E32BA">
          <w:rPr>
            <w:webHidden/>
          </w:rPr>
          <w:fldChar w:fldCharType="begin"/>
        </w:r>
        <w:r w:rsidR="002E32BA">
          <w:rPr>
            <w:webHidden/>
          </w:rPr>
          <w:instrText xml:space="preserve"> PAGEREF _Toc524517083 \h </w:instrText>
        </w:r>
        <w:r w:rsidR="002E32BA">
          <w:rPr>
            <w:webHidden/>
          </w:rPr>
        </w:r>
        <w:r w:rsidR="002E32BA">
          <w:rPr>
            <w:webHidden/>
          </w:rPr>
          <w:fldChar w:fldCharType="separate"/>
        </w:r>
        <w:r w:rsidR="00225A35">
          <w:rPr>
            <w:webHidden/>
          </w:rPr>
          <w:t>11</w:t>
        </w:r>
        <w:r w:rsidR="002E32BA">
          <w:rPr>
            <w:webHidden/>
          </w:rPr>
          <w:fldChar w:fldCharType="end"/>
        </w:r>
      </w:hyperlink>
    </w:p>
    <w:p w14:paraId="4A8B81BF" w14:textId="2AD9C1B0" w:rsidR="002E32BA" w:rsidRDefault="009B17F9">
      <w:pPr>
        <w:pStyle w:val="TOC3"/>
        <w:rPr>
          <w:rFonts w:asciiTheme="minorHAnsi" w:eastAsiaTheme="minorEastAsia" w:hAnsiTheme="minorHAnsi" w:cstheme="minorBidi"/>
        </w:rPr>
      </w:pPr>
      <w:hyperlink w:anchor="_Toc524517084" w:history="1">
        <w:r w:rsidR="002E32BA" w:rsidRPr="00E077F6">
          <w:rPr>
            <w:rStyle w:val="Hyperlink"/>
          </w:rPr>
          <w:t>Machine-to-machine communications and the IoT</w:t>
        </w:r>
        <w:r w:rsidR="002E32BA">
          <w:rPr>
            <w:webHidden/>
          </w:rPr>
          <w:tab/>
        </w:r>
        <w:r w:rsidR="002E32BA">
          <w:rPr>
            <w:webHidden/>
          </w:rPr>
          <w:fldChar w:fldCharType="begin"/>
        </w:r>
        <w:r w:rsidR="002E32BA">
          <w:rPr>
            <w:webHidden/>
          </w:rPr>
          <w:instrText xml:space="preserve"> PAGEREF _Toc524517084 \h </w:instrText>
        </w:r>
        <w:r w:rsidR="002E32BA">
          <w:rPr>
            <w:webHidden/>
          </w:rPr>
        </w:r>
        <w:r w:rsidR="002E32BA">
          <w:rPr>
            <w:webHidden/>
          </w:rPr>
          <w:fldChar w:fldCharType="separate"/>
        </w:r>
        <w:r w:rsidR="00225A35">
          <w:rPr>
            <w:webHidden/>
          </w:rPr>
          <w:t>14</w:t>
        </w:r>
        <w:r w:rsidR="002E32BA">
          <w:rPr>
            <w:webHidden/>
          </w:rPr>
          <w:fldChar w:fldCharType="end"/>
        </w:r>
      </w:hyperlink>
    </w:p>
    <w:p w14:paraId="64FD4FB4" w14:textId="3002DCBD" w:rsidR="002E32BA" w:rsidRDefault="009B17F9">
      <w:pPr>
        <w:pStyle w:val="TOC3"/>
        <w:rPr>
          <w:rFonts w:asciiTheme="minorHAnsi" w:eastAsiaTheme="minorEastAsia" w:hAnsiTheme="minorHAnsi" w:cstheme="minorBidi"/>
        </w:rPr>
      </w:pPr>
      <w:hyperlink w:anchor="_Toc524517085" w:history="1">
        <w:r w:rsidR="002E32BA" w:rsidRPr="00E077F6">
          <w:rPr>
            <w:rStyle w:val="Hyperlink"/>
          </w:rPr>
          <w:t>Broadcasting</w:t>
        </w:r>
        <w:r w:rsidR="002E32BA">
          <w:rPr>
            <w:webHidden/>
          </w:rPr>
          <w:tab/>
        </w:r>
        <w:r w:rsidR="002E32BA">
          <w:rPr>
            <w:webHidden/>
          </w:rPr>
          <w:fldChar w:fldCharType="begin"/>
        </w:r>
        <w:r w:rsidR="002E32BA">
          <w:rPr>
            <w:webHidden/>
          </w:rPr>
          <w:instrText xml:space="preserve"> PAGEREF _Toc524517085 \h </w:instrText>
        </w:r>
        <w:r w:rsidR="002E32BA">
          <w:rPr>
            <w:webHidden/>
          </w:rPr>
        </w:r>
        <w:r w:rsidR="002E32BA">
          <w:rPr>
            <w:webHidden/>
          </w:rPr>
          <w:fldChar w:fldCharType="separate"/>
        </w:r>
        <w:r w:rsidR="00225A35">
          <w:rPr>
            <w:webHidden/>
          </w:rPr>
          <w:t>15</w:t>
        </w:r>
        <w:r w:rsidR="002E32BA">
          <w:rPr>
            <w:webHidden/>
          </w:rPr>
          <w:fldChar w:fldCharType="end"/>
        </w:r>
      </w:hyperlink>
    </w:p>
    <w:p w14:paraId="64E7ABFE" w14:textId="03D56B64" w:rsidR="002E32BA" w:rsidRDefault="009B17F9">
      <w:pPr>
        <w:pStyle w:val="TOC3"/>
        <w:rPr>
          <w:rFonts w:asciiTheme="minorHAnsi" w:eastAsiaTheme="minorEastAsia" w:hAnsiTheme="minorHAnsi" w:cstheme="minorBidi"/>
        </w:rPr>
      </w:pPr>
      <w:hyperlink w:anchor="_Toc524517086" w:history="1">
        <w:r w:rsidR="002E32BA" w:rsidRPr="00E077F6">
          <w:rPr>
            <w:rStyle w:val="Hyperlink"/>
          </w:rPr>
          <w:t>Satellite communications</w:t>
        </w:r>
        <w:r w:rsidR="002E32BA">
          <w:rPr>
            <w:webHidden/>
          </w:rPr>
          <w:tab/>
        </w:r>
        <w:r w:rsidR="002E32BA">
          <w:rPr>
            <w:webHidden/>
          </w:rPr>
          <w:fldChar w:fldCharType="begin"/>
        </w:r>
        <w:r w:rsidR="002E32BA">
          <w:rPr>
            <w:webHidden/>
          </w:rPr>
          <w:instrText xml:space="preserve"> PAGEREF _Toc524517086 \h </w:instrText>
        </w:r>
        <w:r w:rsidR="002E32BA">
          <w:rPr>
            <w:webHidden/>
          </w:rPr>
        </w:r>
        <w:r w:rsidR="002E32BA">
          <w:rPr>
            <w:webHidden/>
          </w:rPr>
          <w:fldChar w:fldCharType="separate"/>
        </w:r>
        <w:r w:rsidR="00225A35">
          <w:rPr>
            <w:webHidden/>
          </w:rPr>
          <w:t>16</w:t>
        </w:r>
        <w:r w:rsidR="002E32BA">
          <w:rPr>
            <w:webHidden/>
          </w:rPr>
          <w:fldChar w:fldCharType="end"/>
        </w:r>
      </w:hyperlink>
    </w:p>
    <w:p w14:paraId="26BE15ED" w14:textId="7512658B" w:rsidR="002E32BA" w:rsidRDefault="009B17F9">
      <w:pPr>
        <w:pStyle w:val="TOC3"/>
        <w:rPr>
          <w:rFonts w:asciiTheme="minorHAnsi" w:eastAsiaTheme="minorEastAsia" w:hAnsiTheme="minorHAnsi" w:cstheme="minorBidi"/>
        </w:rPr>
      </w:pPr>
      <w:hyperlink w:anchor="_Toc524517087" w:history="1">
        <w:r w:rsidR="002E32BA" w:rsidRPr="00E077F6">
          <w:rPr>
            <w:rStyle w:val="Hyperlink"/>
          </w:rPr>
          <w:t>Government spectrum requirements</w:t>
        </w:r>
        <w:r w:rsidR="002E32BA">
          <w:rPr>
            <w:webHidden/>
          </w:rPr>
          <w:tab/>
        </w:r>
        <w:r w:rsidR="002E32BA">
          <w:rPr>
            <w:webHidden/>
          </w:rPr>
          <w:fldChar w:fldCharType="begin"/>
        </w:r>
        <w:r w:rsidR="002E32BA">
          <w:rPr>
            <w:webHidden/>
          </w:rPr>
          <w:instrText xml:space="preserve"> PAGEREF _Toc524517087 \h </w:instrText>
        </w:r>
        <w:r w:rsidR="002E32BA">
          <w:rPr>
            <w:webHidden/>
          </w:rPr>
        </w:r>
        <w:r w:rsidR="002E32BA">
          <w:rPr>
            <w:webHidden/>
          </w:rPr>
          <w:fldChar w:fldCharType="separate"/>
        </w:r>
        <w:r w:rsidR="00225A35">
          <w:rPr>
            <w:webHidden/>
          </w:rPr>
          <w:t>16</w:t>
        </w:r>
        <w:r w:rsidR="002E32BA">
          <w:rPr>
            <w:webHidden/>
          </w:rPr>
          <w:fldChar w:fldCharType="end"/>
        </w:r>
      </w:hyperlink>
    </w:p>
    <w:p w14:paraId="655BF917" w14:textId="5598C509" w:rsidR="002E32BA" w:rsidRDefault="009B17F9">
      <w:pPr>
        <w:pStyle w:val="TOC3"/>
        <w:rPr>
          <w:rFonts w:asciiTheme="minorHAnsi" w:eastAsiaTheme="minorEastAsia" w:hAnsiTheme="minorHAnsi" w:cstheme="minorBidi"/>
        </w:rPr>
      </w:pPr>
      <w:hyperlink w:anchor="_Toc524517088" w:history="1">
        <w:r w:rsidR="002E32BA" w:rsidRPr="00E077F6">
          <w:rPr>
            <w:rStyle w:val="Hyperlink"/>
          </w:rPr>
          <w:t>Dynamic spectrum access</w:t>
        </w:r>
        <w:r w:rsidR="002E32BA">
          <w:rPr>
            <w:webHidden/>
          </w:rPr>
          <w:tab/>
        </w:r>
        <w:r w:rsidR="002E32BA">
          <w:rPr>
            <w:webHidden/>
          </w:rPr>
          <w:fldChar w:fldCharType="begin"/>
        </w:r>
        <w:r w:rsidR="002E32BA">
          <w:rPr>
            <w:webHidden/>
          </w:rPr>
          <w:instrText xml:space="preserve"> PAGEREF _Toc524517088 \h </w:instrText>
        </w:r>
        <w:r w:rsidR="002E32BA">
          <w:rPr>
            <w:webHidden/>
          </w:rPr>
        </w:r>
        <w:r w:rsidR="002E32BA">
          <w:rPr>
            <w:webHidden/>
          </w:rPr>
          <w:fldChar w:fldCharType="separate"/>
        </w:r>
        <w:r w:rsidR="00225A35">
          <w:rPr>
            <w:webHidden/>
          </w:rPr>
          <w:t>17</w:t>
        </w:r>
        <w:r w:rsidR="002E32BA">
          <w:rPr>
            <w:webHidden/>
          </w:rPr>
          <w:fldChar w:fldCharType="end"/>
        </w:r>
      </w:hyperlink>
    </w:p>
    <w:p w14:paraId="146FD8F3" w14:textId="034C2211" w:rsidR="002E32BA" w:rsidRDefault="009B17F9">
      <w:pPr>
        <w:pStyle w:val="TOC1"/>
        <w:rPr>
          <w:rFonts w:asciiTheme="minorHAnsi" w:eastAsiaTheme="minorEastAsia" w:hAnsiTheme="minorHAnsi" w:cstheme="minorBidi"/>
          <w:b w:val="0"/>
          <w:spacing w:val="0"/>
          <w:sz w:val="22"/>
          <w:szCs w:val="22"/>
        </w:rPr>
      </w:pPr>
      <w:hyperlink w:anchor="_Toc524517089" w:history="1">
        <w:r w:rsidR="002E32BA" w:rsidRPr="00E077F6">
          <w:rPr>
            <w:rStyle w:val="Hyperlink"/>
            <w:rFonts w:eastAsiaTheme="majorEastAsia"/>
          </w:rPr>
          <w:t>Part 2—Proposed 2018–19 spectrum work program</w:t>
        </w:r>
        <w:r w:rsidR="002E32BA">
          <w:rPr>
            <w:webHidden/>
          </w:rPr>
          <w:tab/>
        </w:r>
        <w:r w:rsidR="002E32BA">
          <w:rPr>
            <w:webHidden/>
          </w:rPr>
          <w:fldChar w:fldCharType="begin"/>
        </w:r>
        <w:r w:rsidR="002E32BA">
          <w:rPr>
            <w:webHidden/>
          </w:rPr>
          <w:instrText xml:space="preserve"> PAGEREF _Toc524517089 \h </w:instrText>
        </w:r>
        <w:r w:rsidR="002E32BA">
          <w:rPr>
            <w:webHidden/>
          </w:rPr>
        </w:r>
        <w:r w:rsidR="002E32BA">
          <w:rPr>
            <w:webHidden/>
          </w:rPr>
          <w:fldChar w:fldCharType="separate"/>
        </w:r>
        <w:r w:rsidR="00225A35">
          <w:rPr>
            <w:webHidden/>
          </w:rPr>
          <w:t>18</w:t>
        </w:r>
        <w:r w:rsidR="002E32BA">
          <w:rPr>
            <w:webHidden/>
          </w:rPr>
          <w:fldChar w:fldCharType="end"/>
        </w:r>
      </w:hyperlink>
    </w:p>
    <w:p w14:paraId="21E2A3D7" w14:textId="59E53021" w:rsidR="002E32BA" w:rsidRDefault="009B17F9">
      <w:pPr>
        <w:pStyle w:val="TOC1"/>
        <w:rPr>
          <w:rFonts w:asciiTheme="minorHAnsi" w:eastAsiaTheme="minorEastAsia" w:hAnsiTheme="minorHAnsi" w:cstheme="minorBidi"/>
          <w:b w:val="0"/>
          <w:spacing w:val="0"/>
          <w:sz w:val="22"/>
          <w:szCs w:val="22"/>
        </w:rPr>
      </w:pPr>
      <w:hyperlink w:anchor="_Toc524517090" w:history="1">
        <w:r w:rsidR="002E32BA" w:rsidRPr="00E077F6">
          <w:rPr>
            <w:rStyle w:val="Hyperlink"/>
          </w:rPr>
          <w:t>Planning</w:t>
        </w:r>
        <w:r w:rsidR="002E32BA">
          <w:rPr>
            <w:webHidden/>
          </w:rPr>
          <w:tab/>
        </w:r>
        <w:r w:rsidR="002E32BA">
          <w:rPr>
            <w:webHidden/>
          </w:rPr>
          <w:fldChar w:fldCharType="begin"/>
        </w:r>
        <w:r w:rsidR="002E32BA">
          <w:rPr>
            <w:webHidden/>
          </w:rPr>
          <w:instrText xml:space="preserve"> PAGEREF _Toc524517090 \h </w:instrText>
        </w:r>
        <w:r w:rsidR="002E32BA">
          <w:rPr>
            <w:webHidden/>
          </w:rPr>
        </w:r>
        <w:r w:rsidR="002E32BA">
          <w:rPr>
            <w:webHidden/>
          </w:rPr>
          <w:fldChar w:fldCharType="separate"/>
        </w:r>
        <w:r w:rsidR="00225A35">
          <w:rPr>
            <w:webHidden/>
          </w:rPr>
          <w:t>19</w:t>
        </w:r>
        <w:r w:rsidR="002E32BA">
          <w:rPr>
            <w:webHidden/>
          </w:rPr>
          <w:fldChar w:fldCharType="end"/>
        </w:r>
      </w:hyperlink>
    </w:p>
    <w:p w14:paraId="0EB4467A" w14:textId="30F0E59E" w:rsidR="002E32BA" w:rsidRDefault="009B17F9">
      <w:pPr>
        <w:pStyle w:val="TOC2"/>
        <w:rPr>
          <w:rFonts w:asciiTheme="minorHAnsi" w:eastAsiaTheme="minorEastAsia" w:hAnsiTheme="minorHAnsi" w:cstheme="minorBidi"/>
          <w:spacing w:val="0"/>
          <w:sz w:val="22"/>
          <w:szCs w:val="22"/>
        </w:rPr>
      </w:pPr>
      <w:hyperlink w:anchor="_Toc524517091" w:history="1">
        <w:r w:rsidR="002E32BA" w:rsidRPr="00E077F6">
          <w:rPr>
            <w:rStyle w:val="Hyperlink"/>
          </w:rPr>
          <w:t>Major band (re)planning activities</w:t>
        </w:r>
        <w:r w:rsidR="002E32BA">
          <w:rPr>
            <w:webHidden/>
          </w:rPr>
          <w:tab/>
        </w:r>
        <w:r w:rsidR="002E32BA">
          <w:rPr>
            <w:webHidden/>
          </w:rPr>
          <w:fldChar w:fldCharType="begin"/>
        </w:r>
        <w:r w:rsidR="002E32BA">
          <w:rPr>
            <w:webHidden/>
          </w:rPr>
          <w:instrText xml:space="preserve"> PAGEREF _Toc524517091 \h </w:instrText>
        </w:r>
        <w:r w:rsidR="002E32BA">
          <w:rPr>
            <w:webHidden/>
          </w:rPr>
        </w:r>
        <w:r w:rsidR="002E32BA">
          <w:rPr>
            <w:webHidden/>
          </w:rPr>
          <w:fldChar w:fldCharType="separate"/>
        </w:r>
        <w:r w:rsidR="00225A35">
          <w:rPr>
            <w:webHidden/>
          </w:rPr>
          <w:t>19</w:t>
        </w:r>
        <w:r w:rsidR="002E32BA">
          <w:rPr>
            <w:webHidden/>
          </w:rPr>
          <w:fldChar w:fldCharType="end"/>
        </w:r>
      </w:hyperlink>
    </w:p>
    <w:p w14:paraId="350061DB" w14:textId="00D9B908" w:rsidR="002E32BA" w:rsidRDefault="009B17F9">
      <w:pPr>
        <w:pStyle w:val="TOC2"/>
        <w:rPr>
          <w:rFonts w:asciiTheme="minorHAnsi" w:eastAsiaTheme="minorEastAsia" w:hAnsiTheme="minorHAnsi" w:cstheme="minorBidi"/>
          <w:spacing w:val="0"/>
          <w:sz w:val="22"/>
          <w:szCs w:val="22"/>
        </w:rPr>
      </w:pPr>
      <w:hyperlink w:anchor="_Toc524517092" w:history="1">
        <w:r w:rsidR="002E32BA" w:rsidRPr="00E077F6">
          <w:rPr>
            <w:rStyle w:val="Hyperlink"/>
          </w:rPr>
          <w:drawing>
            <wp:inline distT="0" distB="0" distL="0" distR="0" wp14:anchorId="4E135248" wp14:editId="56488020">
              <wp:extent cx="208800" cy="151200"/>
              <wp:effectExtent l="0" t="0" r="1270" b="1270"/>
              <wp:docPr id="19" name="Picture 19"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800" cy="151200"/>
                      </a:xfrm>
                      <a:prstGeom prst="rect">
                        <a:avLst/>
                      </a:prstGeom>
                      <a:noFill/>
                    </pic:spPr>
                  </pic:pic>
                </a:graphicData>
              </a:graphic>
            </wp:inline>
          </w:drawing>
        </w:r>
        <w:r w:rsidR="002E32BA" w:rsidRPr="00E077F6">
          <w:rPr>
            <w:rStyle w:val="Hyperlink"/>
          </w:rPr>
          <w:t xml:space="preserve"> What has changed since the draft FYSO?</w:t>
        </w:r>
        <w:r w:rsidR="002E32BA">
          <w:rPr>
            <w:webHidden/>
          </w:rPr>
          <w:tab/>
        </w:r>
        <w:r w:rsidR="002E32BA">
          <w:rPr>
            <w:webHidden/>
          </w:rPr>
          <w:fldChar w:fldCharType="begin"/>
        </w:r>
        <w:r w:rsidR="002E32BA">
          <w:rPr>
            <w:webHidden/>
          </w:rPr>
          <w:instrText xml:space="preserve"> PAGEREF _Toc524517092 \h </w:instrText>
        </w:r>
        <w:r w:rsidR="002E32BA">
          <w:rPr>
            <w:webHidden/>
          </w:rPr>
        </w:r>
        <w:r w:rsidR="002E32BA">
          <w:rPr>
            <w:webHidden/>
          </w:rPr>
          <w:fldChar w:fldCharType="separate"/>
        </w:r>
        <w:r w:rsidR="00225A35">
          <w:rPr>
            <w:webHidden/>
          </w:rPr>
          <w:t>20</w:t>
        </w:r>
        <w:r w:rsidR="002E32BA">
          <w:rPr>
            <w:webHidden/>
          </w:rPr>
          <w:fldChar w:fldCharType="end"/>
        </w:r>
      </w:hyperlink>
    </w:p>
    <w:p w14:paraId="6AB6D67D" w14:textId="6E0FD911" w:rsidR="002E32BA" w:rsidRDefault="009B17F9">
      <w:pPr>
        <w:pStyle w:val="TOC3"/>
        <w:rPr>
          <w:rFonts w:asciiTheme="minorHAnsi" w:eastAsiaTheme="minorEastAsia" w:hAnsiTheme="minorHAnsi" w:cstheme="minorBidi"/>
        </w:rPr>
      </w:pPr>
      <w:hyperlink w:anchor="_Toc524517093" w:history="1">
        <w:r w:rsidR="002E32BA" w:rsidRPr="00E077F6">
          <w:rPr>
            <w:rStyle w:val="Hyperlink"/>
          </w:rPr>
          <w:t>Major replanning progress achieved since October 2017</w:t>
        </w:r>
        <w:r w:rsidR="002E32BA">
          <w:rPr>
            <w:webHidden/>
          </w:rPr>
          <w:tab/>
        </w:r>
        <w:r w:rsidR="002E32BA">
          <w:rPr>
            <w:webHidden/>
          </w:rPr>
          <w:fldChar w:fldCharType="begin"/>
        </w:r>
        <w:r w:rsidR="002E32BA">
          <w:rPr>
            <w:webHidden/>
          </w:rPr>
          <w:instrText xml:space="preserve"> PAGEREF _Toc524517093 \h </w:instrText>
        </w:r>
        <w:r w:rsidR="002E32BA">
          <w:rPr>
            <w:webHidden/>
          </w:rPr>
        </w:r>
        <w:r w:rsidR="002E32BA">
          <w:rPr>
            <w:webHidden/>
          </w:rPr>
          <w:fldChar w:fldCharType="separate"/>
        </w:r>
        <w:r w:rsidR="00225A35">
          <w:rPr>
            <w:webHidden/>
          </w:rPr>
          <w:t>21</w:t>
        </w:r>
        <w:r w:rsidR="002E32BA">
          <w:rPr>
            <w:webHidden/>
          </w:rPr>
          <w:fldChar w:fldCharType="end"/>
        </w:r>
      </w:hyperlink>
    </w:p>
    <w:p w14:paraId="034F61A4" w14:textId="40D6D317" w:rsidR="002E32BA" w:rsidRDefault="009B17F9">
      <w:pPr>
        <w:pStyle w:val="TOC2"/>
        <w:rPr>
          <w:rFonts w:asciiTheme="minorHAnsi" w:eastAsiaTheme="minorEastAsia" w:hAnsiTheme="minorHAnsi" w:cstheme="minorBidi"/>
          <w:spacing w:val="0"/>
          <w:sz w:val="22"/>
          <w:szCs w:val="22"/>
        </w:rPr>
      </w:pPr>
      <w:hyperlink w:anchor="_Toc524517094" w:history="1">
        <w:r w:rsidR="002E32BA" w:rsidRPr="00E077F6">
          <w:rPr>
            <w:rStyle w:val="Hyperlink"/>
          </w:rPr>
          <w:t>Optimising established planning frameworks</w:t>
        </w:r>
        <w:r w:rsidR="002E32BA">
          <w:rPr>
            <w:webHidden/>
          </w:rPr>
          <w:tab/>
        </w:r>
        <w:r w:rsidR="002E32BA">
          <w:rPr>
            <w:webHidden/>
          </w:rPr>
          <w:fldChar w:fldCharType="begin"/>
        </w:r>
        <w:r w:rsidR="002E32BA">
          <w:rPr>
            <w:webHidden/>
          </w:rPr>
          <w:instrText xml:space="preserve"> PAGEREF _Toc524517094 \h </w:instrText>
        </w:r>
        <w:r w:rsidR="002E32BA">
          <w:rPr>
            <w:webHidden/>
          </w:rPr>
        </w:r>
        <w:r w:rsidR="002E32BA">
          <w:rPr>
            <w:webHidden/>
          </w:rPr>
          <w:fldChar w:fldCharType="separate"/>
        </w:r>
        <w:r w:rsidR="00225A35">
          <w:rPr>
            <w:webHidden/>
          </w:rPr>
          <w:t>43</w:t>
        </w:r>
        <w:r w:rsidR="002E32BA">
          <w:rPr>
            <w:webHidden/>
          </w:rPr>
          <w:fldChar w:fldCharType="end"/>
        </w:r>
      </w:hyperlink>
    </w:p>
    <w:p w14:paraId="17617718" w14:textId="499B23C5" w:rsidR="002E32BA" w:rsidRDefault="009B17F9">
      <w:pPr>
        <w:pStyle w:val="TOC3"/>
        <w:rPr>
          <w:rFonts w:asciiTheme="minorHAnsi" w:eastAsiaTheme="minorEastAsia" w:hAnsiTheme="minorHAnsi" w:cstheme="minorBidi"/>
        </w:rPr>
      </w:pPr>
      <w:hyperlink w:anchor="_Toc524517095" w:history="1">
        <w:r w:rsidR="002E32BA" w:rsidRPr="00E077F6">
          <w:rPr>
            <w:rStyle w:val="Hyperlink"/>
          </w:rPr>
          <w:t>Spectrum management advice and considering of out-of-policy requests</w:t>
        </w:r>
        <w:r w:rsidR="002E32BA">
          <w:rPr>
            <w:webHidden/>
          </w:rPr>
          <w:tab/>
        </w:r>
        <w:r w:rsidR="002E32BA">
          <w:rPr>
            <w:webHidden/>
          </w:rPr>
          <w:fldChar w:fldCharType="begin"/>
        </w:r>
        <w:r w:rsidR="002E32BA">
          <w:rPr>
            <w:webHidden/>
          </w:rPr>
          <w:instrText xml:space="preserve"> PAGEREF _Toc524517095 \h </w:instrText>
        </w:r>
        <w:r w:rsidR="002E32BA">
          <w:rPr>
            <w:webHidden/>
          </w:rPr>
        </w:r>
        <w:r w:rsidR="002E32BA">
          <w:rPr>
            <w:webHidden/>
          </w:rPr>
          <w:fldChar w:fldCharType="separate"/>
        </w:r>
        <w:r w:rsidR="00225A35">
          <w:rPr>
            <w:webHidden/>
          </w:rPr>
          <w:t>43</w:t>
        </w:r>
        <w:r w:rsidR="002E32BA">
          <w:rPr>
            <w:webHidden/>
          </w:rPr>
          <w:fldChar w:fldCharType="end"/>
        </w:r>
      </w:hyperlink>
    </w:p>
    <w:p w14:paraId="11229523" w14:textId="32B3B74D" w:rsidR="002E32BA" w:rsidRDefault="009B17F9">
      <w:pPr>
        <w:pStyle w:val="TOC3"/>
        <w:rPr>
          <w:rFonts w:asciiTheme="minorHAnsi" w:eastAsiaTheme="minorEastAsia" w:hAnsiTheme="minorHAnsi" w:cstheme="minorBidi"/>
        </w:rPr>
      </w:pPr>
      <w:hyperlink w:anchor="_Toc524517096" w:history="1">
        <w:r w:rsidR="002E32BA" w:rsidRPr="00E077F6">
          <w:rPr>
            <w:rStyle w:val="Hyperlink"/>
          </w:rPr>
          <w:t>Broadcasting</w:t>
        </w:r>
        <w:r w:rsidR="002E32BA">
          <w:rPr>
            <w:webHidden/>
          </w:rPr>
          <w:tab/>
        </w:r>
        <w:r w:rsidR="002E32BA">
          <w:rPr>
            <w:webHidden/>
          </w:rPr>
          <w:fldChar w:fldCharType="begin"/>
        </w:r>
        <w:r w:rsidR="002E32BA">
          <w:rPr>
            <w:webHidden/>
          </w:rPr>
          <w:instrText xml:space="preserve"> PAGEREF _Toc524517096 \h </w:instrText>
        </w:r>
        <w:r w:rsidR="002E32BA">
          <w:rPr>
            <w:webHidden/>
          </w:rPr>
        </w:r>
        <w:r w:rsidR="002E32BA">
          <w:rPr>
            <w:webHidden/>
          </w:rPr>
          <w:fldChar w:fldCharType="separate"/>
        </w:r>
        <w:r w:rsidR="00225A35">
          <w:rPr>
            <w:webHidden/>
          </w:rPr>
          <w:t>43</w:t>
        </w:r>
        <w:r w:rsidR="002E32BA">
          <w:rPr>
            <w:webHidden/>
          </w:rPr>
          <w:fldChar w:fldCharType="end"/>
        </w:r>
      </w:hyperlink>
    </w:p>
    <w:p w14:paraId="76C019C8" w14:textId="16DBAFA7" w:rsidR="002E32BA" w:rsidRDefault="009B17F9">
      <w:pPr>
        <w:pStyle w:val="TOC3"/>
        <w:rPr>
          <w:rFonts w:asciiTheme="minorHAnsi" w:eastAsiaTheme="minorEastAsia" w:hAnsiTheme="minorHAnsi" w:cstheme="minorBidi"/>
        </w:rPr>
      </w:pPr>
      <w:hyperlink w:anchor="_Toc524517097" w:history="1">
        <w:r w:rsidR="002E32BA" w:rsidRPr="00E077F6">
          <w:rPr>
            <w:rStyle w:val="Hyperlink"/>
          </w:rPr>
          <w:t>Satellite planning</w:t>
        </w:r>
        <w:r w:rsidR="002E32BA">
          <w:rPr>
            <w:webHidden/>
          </w:rPr>
          <w:tab/>
        </w:r>
        <w:r w:rsidR="002E32BA">
          <w:rPr>
            <w:webHidden/>
          </w:rPr>
          <w:fldChar w:fldCharType="begin"/>
        </w:r>
        <w:r w:rsidR="002E32BA">
          <w:rPr>
            <w:webHidden/>
          </w:rPr>
          <w:instrText xml:space="preserve"> PAGEREF _Toc524517097 \h </w:instrText>
        </w:r>
        <w:r w:rsidR="002E32BA">
          <w:rPr>
            <w:webHidden/>
          </w:rPr>
        </w:r>
        <w:r w:rsidR="002E32BA">
          <w:rPr>
            <w:webHidden/>
          </w:rPr>
          <w:fldChar w:fldCharType="separate"/>
        </w:r>
        <w:r w:rsidR="00225A35">
          <w:rPr>
            <w:webHidden/>
          </w:rPr>
          <w:t>45</w:t>
        </w:r>
        <w:r w:rsidR="002E32BA">
          <w:rPr>
            <w:webHidden/>
          </w:rPr>
          <w:fldChar w:fldCharType="end"/>
        </w:r>
      </w:hyperlink>
    </w:p>
    <w:p w14:paraId="42AA0518" w14:textId="46CD0232" w:rsidR="002E32BA" w:rsidRDefault="009B17F9">
      <w:pPr>
        <w:pStyle w:val="TOC3"/>
        <w:rPr>
          <w:rFonts w:asciiTheme="minorHAnsi" w:eastAsiaTheme="minorEastAsia" w:hAnsiTheme="minorHAnsi" w:cstheme="minorBidi"/>
        </w:rPr>
      </w:pPr>
      <w:hyperlink w:anchor="_Toc524517098" w:history="1">
        <w:r w:rsidR="002E32BA" w:rsidRPr="00E077F6">
          <w:rPr>
            <w:rStyle w:val="Hyperlink"/>
          </w:rPr>
          <w:t>Low interference potential devices (LIPD)</w:t>
        </w:r>
        <w:r w:rsidR="002E32BA">
          <w:rPr>
            <w:webHidden/>
          </w:rPr>
          <w:tab/>
        </w:r>
        <w:r w:rsidR="002E32BA">
          <w:rPr>
            <w:webHidden/>
          </w:rPr>
          <w:fldChar w:fldCharType="begin"/>
        </w:r>
        <w:r w:rsidR="002E32BA">
          <w:rPr>
            <w:webHidden/>
          </w:rPr>
          <w:instrText xml:space="preserve"> PAGEREF _Toc524517098 \h </w:instrText>
        </w:r>
        <w:r w:rsidR="002E32BA">
          <w:rPr>
            <w:webHidden/>
          </w:rPr>
        </w:r>
        <w:r w:rsidR="002E32BA">
          <w:rPr>
            <w:webHidden/>
          </w:rPr>
          <w:fldChar w:fldCharType="separate"/>
        </w:r>
        <w:r w:rsidR="00225A35">
          <w:rPr>
            <w:webHidden/>
          </w:rPr>
          <w:t>48</w:t>
        </w:r>
        <w:r w:rsidR="002E32BA">
          <w:rPr>
            <w:webHidden/>
          </w:rPr>
          <w:fldChar w:fldCharType="end"/>
        </w:r>
      </w:hyperlink>
    </w:p>
    <w:p w14:paraId="0F9231E1" w14:textId="6880E48C" w:rsidR="002E32BA" w:rsidRDefault="009B17F9">
      <w:pPr>
        <w:pStyle w:val="TOC3"/>
        <w:rPr>
          <w:rFonts w:asciiTheme="minorHAnsi" w:eastAsiaTheme="minorEastAsia" w:hAnsiTheme="minorHAnsi" w:cstheme="minorBidi"/>
        </w:rPr>
      </w:pPr>
      <w:hyperlink w:anchor="_Toc524517099" w:history="1">
        <w:r w:rsidR="002E32BA" w:rsidRPr="00E077F6">
          <w:rPr>
            <w:rStyle w:val="Hyperlink"/>
          </w:rPr>
          <w:t>Amateur radio</w:t>
        </w:r>
        <w:r w:rsidR="002E32BA">
          <w:rPr>
            <w:webHidden/>
          </w:rPr>
          <w:tab/>
        </w:r>
        <w:r w:rsidR="002E32BA">
          <w:rPr>
            <w:webHidden/>
          </w:rPr>
          <w:fldChar w:fldCharType="begin"/>
        </w:r>
        <w:r w:rsidR="002E32BA">
          <w:rPr>
            <w:webHidden/>
          </w:rPr>
          <w:instrText xml:space="preserve"> PAGEREF _Toc524517099 \h </w:instrText>
        </w:r>
        <w:r w:rsidR="002E32BA">
          <w:rPr>
            <w:webHidden/>
          </w:rPr>
        </w:r>
        <w:r w:rsidR="002E32BA">
          <w:rPr>
            <w:webHidden/>
          </w:rPr>
          <w:fldChar w:fldCharType="separate"/>
        </w:r>
        <w:r w:rsidR="00225A35">
          <w:rPr>
            <w:webHidden/>
          </w:rPr>
          <w:t>50</w:t>
        </w:r>
        <w:r w:rsidR="002E32BA">
          <w:rPr>
            <w:webHidden/>
          </w:rPr>
          <w:fldChar w:fldCharType="end"/>
        </w:r>
      </w:hyperlink>
    </w:p>
    <w:p w14:paraId="76903524" w14:textId="504ACBDA" w:rsidR="002E32BA" w:rsidRDefault="009B17F9">
      <w:pPr>
        <w:pStyle w:val="TOC3"/>
        <w:rPr>
          <w:rFonts w:asciiTheme="minorHAnsi" w:eastAsiaTheme="minorEastAsia" w:hAnsiTheme="minorHAnsi" w:cstheme="minorBidi"/>
        </w:rPr>
      </w:pPr>
      <w:hyperlink w:anchor="_Toc524517100" w:history="1">
        <w:r w:rsidR="002E32BA" w:rsidRPr="00E077F6">
          <w:rPr>
            <w:rStyle w:val="Hyperlink"/>
          </w:rPr>
          <w:t>Ongoing review of spectrum planning, assignment and coordination requirements</w:t>
        </w:r>
        <w:r w:rsidR="002E32BA">
          <w:rPr>
            <w:webHidden/>
          </w:rPr>
          <w:tab/>
        </w:r>
        <w:r w:rsidR="002E32BA">
          <w:rPr>
            <w:webHidden/>
          </w:rPr>
          <w:fldChar w:fldCharType="begin"/>
        </w:r>
        <w:r w:rsidR="002E32BA">
          <w:rPr>
            <w:webHidden/>
          </w:rPr>
          <w:instrText xml:space="preserve"> PAGEREF _Toc524517100 \h </w:instrText>
        </w:r>
        <w:r w:rsidR="002E32BA">
          <w:rPr>
            <w:webHidden/>
          </w:rPr>
        </w:r>
        <w:r w:rsidR="002E32BA">
          <w:rPr>
            <w:webHidden/>
          </w:rPr>
          <w:fldChar w:fldCharType="separate"/>
        </w:r>
        <w:r w:rsidR="00225A35">
          <w:rPr>
            <w:webHidden/>
          </w:rPr>
          <w:t>50</w:t>
        </w:r>
        <w:r w:rsidR="002E32BA">
          <w:rPr>
            <w:webHidden/>
          </w:rPr>
          <w:fldChar w:fldCharType="end"/>
        </w:r>
      </w:hyperlink>
    </w:p>
    <w:p w14:paraId="15538CF5" w14:textId="7238F299" w:rsidR="002E32BA" w:rsidRDefault="009B17F9">
      <w:pPr>
        <w:pStyle w:val="TOC1"/>
        <w:rPr>
          <w:rFonts w:asciiTheme="minorHAnsi" w:eastAsiaTheme="minorEastAsia" w:hAnsiTheme="minorHAnsi" w:cstheme="minorBidi"/>
          <w:b w:val="0"/>
          <w:spacing w:val="0"/>
          <w:sz w:val="22"/>
          <w:szCs w:val="22"/>
        </w:rPr>
      </w:pPr>
      <w:hyperlink w:anchor="_Toc524517101" w:history="1">
        <w:r w:rsidR="002E32BA" w:rsidRPr="00E077F6">
          <w:rPr>
            <w:rStyle w:val="Hyperlink"/>
          </w:rPr>
          <w:t>The forward allocation work plan</w:t>
        </w:r>
        <w:r w:rsidR="002E32BA">
          <w:rPr>
            <w:webHidden/>
          </w:rPr>
          <w:tab/>
        </w:r>
        <w:r w:rsidR="002E32BA">
          <w:rPr>
            <w:webHidden/>
          </w:rPr>
          <w:fldChar w:fldCharType="begin"/>
        </w:r>
        <w:r w:rsidR="002E32BA">
          <w:rPr>
            <w:webHidden/>
          </w:rPr>
          <w:instrText xml:space="preserve"> PAGEREF _Toc524517101 \h </w:instrText>
        </w:r>
        <w:r w:rsidR="002E32BA">
          <w:rPr>
            <w:webHidden/>
          </w:rPr>
        </w:r>
        <w:r w:rsidR="002E32BA">
          <w:rPr>
            <w:webHidden/>
          </w:rPr>
          <w:fldChar w:fldCharType="separate"/>
        </w:r>
        <w:r w:rsidR="00225A35">
          <w:rPr>
            <w:webHidden/>
          </w:rPr>
          <w:t>52</w:t>
        </w:r>
        <w:r w:rsidR="002E32BA">
          <w:rPr>
            <w:webHidden/>
          </w:rPr>
          <w:fldChar w:fldCharType="end"/>
        </w:r>
      </w:hyperlink>
    </w:p>
    <w:p w14:paraId="4153559E" w14:textId="0FD7F909" w:rsidR="002E32BA" w:rsidRDefault="009B17F9">
      <w:pPr>
        <w:pStyle w:val="TOC2"/>
        <w:rPr>
          <w:rFonts w:asciiTheme="minorHAnsi" w:eastAsiaTheme="minorEastAsia" w:hAnsiTheme="minorHAnsi" w:cstheme="minorBidi"/>
          <w:spacing w:val="0"/>
          <w:sz w:val="22"/>
          <w:szCs w:val="22"/>
        </w:rPr>
      </w:pPr>
      <w:hyperlink w:anchor="_Toc524517102" w:history="1">
        <w:r w:rsidR="002E32BA" w:rsidRPr="00E077F6">
          <w:rPr>
            <w:rStyle w:val="Hyperlink"/>
            <w:rFonts w:eastAsiaTheme="majorEastAsia"/>
          </w:rPr>
          <w:t>Purpose of the forward allocation work plan</w:t>
        </w:r>
        <w:r w:rsidR="002E32BA">
          <w:rPr>
            <w:webHidden/>
          </w:rPr>
          <w:tab/>
        </w:r>
        <w:r w:rsidR="002E32BA">
          <w:rPr>
            <w:webHidden/>
          </w:rPr>
          <w:fldChar w:fldCharType="begin"/>
        </w:r>
        <w:r w:rsidR="002E32BA">
          <w:rPr>
            <w:webHidden/>
          </w:rPr>
          <w:instrText xml:space="preserve"> PAGEREF _Toc524517102 \h </w:instrText>
        </w:r>
        <w:r w:rsidR="002E32BA">
          <w:rPr>
            <w:webHidden/>
          </w:rPr>
        </w:r>
        <w:r w:rsidR="002E32BA">
          <w:rPr>
            <w:webHidden/>
          </w:rPr>
          <w:fldChar w:fldCharType="separate"/>
        </w:r>
        <w:r w:rsidR="00225A35">
          <w:rPr>
            <w:webHidden/>
          </w:rPr>
          <w:t>52</w:t>
        </w:r>
        <w:r w:rsidR="002E32BA">
          <w:rPr>
            <w:webHidden/>
          </w:rPr>
          <w:fldChar w:fldCharType="end"/>
        </w:r>
      </w:hyperlink>
    </w:p>
    <w:p w14:paraId="3508543C" w14:textId="2E1D3D73" w:rsidR="002E32BA" w:rsidRDefault="009B17F9">
      <w:pPr>
        <w:pStyle w:val="TOC2"/>
        <w:rPr>
          <w:rFonts w:asciiTheme="minorHAnsi" w:eastAsiaTheme="minorEastAsia" w:hAnsiTheme="minorHAnsi" w:cstheme="minorBidi"/>
          <w:spacing w:val="0"/>
          <w:sz w:val="22"/>
          <w:szCs w:val="22"/>
        </w:rPr>
      </w:pPr>
      <w:hyperlink w:anchor="_Toc524517103" w:history="1">
        <w:r w:rsidR="002E32BA" w:rsidRPr="00E077F6">
          <w:rPr>
            <w:rStyle w:val="Hyperlink"/>
          </w:rPr>
          <w:t>Feedback</w:t>
        </w:r>
        <w:r w:rsidR="002E32BA">
          <w:rPr>
            <w:webHidden/>
          </w:rPr>
          <w:tab/>
        </w:r>
        <w:r w:rsidR="002E32BA">
          <w:rPr>
            <w:webHidden/>
          </w:rPr>
          <w:fldChar w:fldCharType="begin"/>
        </w:r>
        <w:r w:rsidR="002E32BA">
          <w:rPr>
            <w:webHidden/>
          </w:rPr>
          <w:instrText xml:space="preserve"> PAGEREF _Toc524517103 \h </w:instrText>
        </w:r>
        <w:r w:rsidR="002E32BA">
          <w:rPr>
            <w:webHidden/>
          </w:rPr>
        </w:r>
        <w:r w:rsidR="002E32BA">
          <w:rPr>
            <w:webHidden/>
          </w:rPr>
          <w:fldChar w:fldCharType="separate"/>
        </w:r>
        <w:r w:rsidR="00225A35">
          <w:rPr>
            <w:webHidden/>
          </w:rPr>
          <w:t>53</w:t>
        </w:r>
        <w:r w:rsidR="002E32BA">
          <w:rPr>
            <w:webHidden/>
          </w:rPr>
          <w:fldChar w:fldCharType="end"/>
        </w:r>
      </w:hyperlink>
    </w:p>
    <w:p w14:paraId="1B94405D" w14:textId="38E09413" w:rsidR="002E32BA" w:rsidRDefault="009B17F9">
      <w:pPr>
        <w:pStyle w:val="TOC2"/>
        <w:rPr>
          <w:rFonts w:asciiTheme="minorHAnsi" w:eastAsiaTheme="minorEastAsia" w:hAnsiTheme="minorHAnsi" w:cstheme="minorBidi"/>
          <w:spacing w:val="0"/>
          <w:sz w:val="22"/>
          <w:szCs w:val="22"/>
        </w:rPr>
      </w:pPr>
      <w:hyperlink w:anchor="_Toc524517104" w:history="1">
        <w:r w:rsidR="002E32BA" w:rsidRPr="00E077F6">
          <w:rPr>
            <w:rStyle w:val="Hyperlink"/>
          </w:rPr>
          <w:t>What we’re proposing</w:t>
        </w:r>
        <w:r w:rsidR="002E32BA">
          <w:rPr>
            <w:webHidden/>
          </w:rPr>
          <w:tab/>
        </w:r>
        <w:r w:rsidR="002E32BA">
          <w:rPr>
            <w:webHidden/>
          </w:rPr>
          <w:fldChar w:fldCharType="begin"/>
        </w:r>
        <w:r w:rsidR="002E32BA">
          <w:rPr>
            <w:webHidden/>
          </w:rPr>
          <w:instrText xml:space="preserve"> PAGEREF _Toc524517104 \h </w:instrText>
        </w:r>
        <w:r w:rsidR="002E32BA">
          <w:rPr>
            <w:webHidden/>
          </w:rPr>
        </w:r>
        <w:r w:rsidR="002E32BA">
          <w:rPr>
            <w:webHidden/>
          </w:rPr>
          <w:fldChar w:fldCharType="separate"/>
        </w:r>
        <w:r w:rsidR="00225A35">
          <w:rPr>
            <w:webHidden/>
          </w:rPr>
          <w:t>58</w:t>
        </w:r>
        <w:r w:rsidR="002E32BA">
          <w:rPr>
            <w:webHidden/>
          </w:rPr>
          <w:fldChar w:fldCharType="end"/>
        </w:r>
      </w:hyperlink>
    </w:p>
    <w:p w14:paraId="2175FCF7" w14:textId="22B68D2B" w:rsidR="002E32BA" w:rsidRDefault="009B17F9">
      <w:pPr>
        <w:pStyle w:val="TOC3"/>
        <w:rPr>
          <w:rFonts w:asciiTheme="minorHAnsi" w:eastAsiaTheme="minorEastAsia" w:hAnsiTheme="minorHAnsi" w:cstheme="minorBidi"/>
        </w:rPr>
      </w:pPr>
      <w:hyperlink w:anchor="_Toc524517105" w:history="1">
        <w:r w:rsidR="002E32BA" w:rsidRPr="00E077F6">
          <w:rPr>
            <w:rStyle w:val="Hyperlink"/>
          </w:rPr>
          <w:t>3.6 GHz</w:t>
        </w:r>
        <w:r w:rsidR="002E32BA">
          <w:rPr>
            <w:webHidden/>
          </w:rPr>
          <w:tab/>
        </w:r>
        <w:r w:rsidR="002E32BA">
          <w:rPr>
            <w:webHidden/>
          </w:rPr>
          <w:fldChar w:fldCharType="begin"/>
        </w:r>
        <w:r w:rsidR="002E32BA">
          <w:rPr>
            <w:webHidden/>
          </w:rPr>
          <w:instrText xml:space="preserve"> PAGEREF _Toc524517105 \h </w:instrText>
        </w:r>
        <w:r w:rsidR="002E32BA">
          <w:rPr>
            <w:webHidden/>
          </w:rPr>
        </w:r>
        <w:r w:rsidR="002E32BA">
          <w:rPr>
            <w:webHidden/>
          </w:rPr>
          <w:fldChar w:fldCharType="separate"/>
        </w:r>
        <w:r w:rsidR="00225A35">
          <w:rPr>
            <w:webHidden/>
          </w:rPr>
          <w:t>59</w:t>
        </w:r>
        <w:r w:rsidR="002E32BA">
          <w:rPr>
            <w:webHidden/>
          </w:rPr>
          <w:fldChar w:fldCharType="end"/>
        </w:r>
      </w:hyperlink>
    </w:p>
    <w:p w14:paraId="467646A7" w14:textId="048EA423" w:rsidR="002E32BA" w:rsidRDefault="009B17F9">
      <w:pPr>
        <w:pStyle w:val="TOC3"/>
        <w:rPr>
          <w:rFonts w:asciiTheme="minorHAnsi" w:eastAsiaTheme="minorEastAsia" w:hAnsiTheme="minorHAnsi" w:cstheme="minorBidi"/>
        </w:rPr>
      </w:pPr>
      <w:hyperlink w:anchor="_Toc524517106" w:history="1">
        <w:r w:rsidR="002E32BA" w:rsidRPr="00E077F6">
          <w:rPr>
            <w:rStyle w:val="Hyperlink"/>
          </w:rPr>
          <w:t>mmWave spectrum</w:t>
        </w:r>
        <w:r w:rsidR="002E32BA">
          <w:rPr>
            <w:webHidden/>
          </w:rPr>
          <w:tab/>
        </w:r>
        <w:r w:rsidR="002E32BA">
          <w:rPr>
            <w:webHidden/>
          </w:rPr>
          <w:fldChar w:fldCharType="begin"/>
        </w:r>
        <w:r w:rsidR="002E32BA">
          <w:rPr>
            <w:webHidden/>
          </w:rPr>
          <w:instrText xml:space="preserve"> PAGEREF _Toc524517106 \h </w:instrText>
        </w:r>
        <w:r w:rsidR="002E32BA">
          <w:rPr>
            <w:webHidden/>
          </w:rPr>
        </w:r>
        <w:r w:rsidR="002E32BA">
          <w:rPr>
            <w:webHidden/>
          </w:rPr>
          <w:fldChar w:fldCharType="separate"/>
        </w:r>
        <w:r w:rsidR="00225A35">
          <w:rPr>
            <w:webHidden/>
          </w:rPr>
          <w:t>59</w:t>
        </w:r>
        <w:r w:rsidR="002E32BA">
          <w:rPr>
            <w:webHidden/>
          </w:rPr>
          <w:fldChar w:fldCharType="end"/>
        </w:r>
      </w:hyperlink>
    </w:p>
    <w:p w14:paraId="428153FA" w14:textId="56D4B749" w:rsidR="002E32BA" w:rsidRDefault="009B17F9">
      <w:pPr>
        <w:pStyle w:val="TOC3"/>
        <w:rPr>
          <w:rFonts w:asciiTheme="minorHAnsi" w:eastAsiaTheme="minorEastAsia" w:hAnsiTheme="minorHAnsi" w:cstheme="minorBidi"/>
        </w:rPr>
      </w:pPr>
      <w:hyperlink w:anchor="_Toc524517107" w:history="1">
        <w:r w:rsidR="002E32BA" w:rsidRPr="00E077F6">
          <w:rPr>
            <w:rStyle w:val="Hyperlink"/>
          </w:rPr>
          <w:t>900 MHz</w:t>
        </w:r>
        <w:r w:rsidR="002E32BA">
          <w:rPr>
            <w:webHidden/>
          </w:rPr>
          <w:tab/>
        </w:r>
        <w:r w:rsidR="002E32BA">
          <w:rPr>
            <w:webHidden/>
          </w:rPr>
          <w:fldChar w:fldCharType="begin"/>
        </w:r>
        <w:r w:rsidR="002E32BA">
          <w:rPr>
            <w:webHidden/>
          </w:rPr>
          <w:instrText xml:space="preserve"> PAGEREF _Toc524517107 \h </w:instrText>
        </w:r>
        <w:r w:rsidR="002E32BA">
          <w:rPr>
            <w:webHidden/>
          </w:rPr>
        </w:r>
        <w:r w:rsidR="002E32BA">
          <w:rPr>
            <w:webHidden/>
          </w:rPr>
          <w:fldChar w:fldCharType="separate"/>
        </w:r>
        <w:r w:rsidR="00225A35">
          <w:rPr>
            <w:webHidden/>
          </w:rPr>
          <w:t>59</w:t>
        </w:r>
        <w:r w:rsidR="002E32BA">
          <w:rPr>
            <w:webHidden/>
          </w:rPr>
          <w:fldChar w:fldCharType="end"/>
        </w:r>
      </w:hyperlink>
    </w:p>
    <w:p w14:paraId="767F7974" w14:textId="3E3B10AD" w:rsidR="002E32BA" w:rsidRDefault="009B17F9">
      <w:pPr>
        <w:pStyle w:val="TOC3"/>
        <w:rPr>
          <w:rFonts w:asciiTheme="minorHAnsi" w:eastAsiaTheme="minorEastAsia" w:hAnsiTheme="minorHAnsi" w:cstheme="minorBidi"/>
        </w:rPr>
      </w:pPr>
      <w:hyperlink w:anchor="_Toc524517108" w:history="1">
        <w:r w:rsidR="002E32BA" w:rsidRPr="00E077F6">
          <w:rPr>
            <w:rStyle w:val="Hyperlink"/>
          </w:rPr>
          <w:t>850 MHz</w:t>
        </w:r>
        <w:r w:rsidR="002E32BA">
          <w:rPr>
            <w:webHidden/>
          </w:rPr>
          <w:tab/>
        </w:r>
        <w:r w:rsidR="002E32BA">
          <w:rPr>
            <w:webHidden/>
          </w:rPr>
          <w:fldChar w:fldCharType="begin"/>
        </w:r>
        <w:r w:rsidR="002E32BA">
          <w:rPr>
            <w:webHidden/>
          </w:rPr>
          <w:instrText xml:space="preserve"> PAGEREF _Toc524517108 \h </w:instrText>
        </w:r>
        <w:r w:rsidR="002E32BA">
          <w:rPr>
            <w:webHidden/>
          </w:rPr>
        </w:r>
        <w:r w:rsidR="002E32BA">
          <w:rPr>
            <w:webHidden/>
          </w:rPr>
          <w:fldChar w:fldCharType="separate"/>
        </w:r>
        <w:r w:rsidR="00225A35">
          <w:rPr>
            <w:webHidden/>
          </w:rPr>
          <w:t>59</w:t>
        </w:r>
        <w:r w:rsidR="002E32BA">
          <w:rPr>
            <w:webHidden/>
          </w:rPr>
          <w:fldChar w:fldCharType="end"/>
        </w:r>
      </w:hyperlink>
    </w:p>
    <w:p w14:paraId="13635CF7" w14:textId="220CE163" w:rsidR="002E32BA" w:rsidRDefault="009B17F9">
      <w:pPr>
        <w:pStyle w:val="TOC3"/>
        <w:rPr>
          <w:rFonts w:asciiTheme="minorHAnsi" w:eastAsiaTheme="minorEastAsia" w:hAnsiTheme="minorHAnsi" w:cstheme="minorBidi"/>
        </w:rPr>
      </w:pPr>
      <w:hyperlink w:anchor="_Toc524517109" w:history="1">
        <w:r w:rsidR="002E32BA" w:rsidRPr="00E077F6">
          <w:rPr>
            <w:rStyle w:val="Hyperlink"/>
          </w:rPr>
          <w:t>1.</w:t>
        </w:r>
        <w:r w:rsidR="002E32BA" w:rsidRPr="00E077F6">
          <w:rPr>
            <w:rStyle w:val="Hyperlink"/>
            <w:rFonts w:eastAsiaTheme="majorEastAsia"/>
          </w:rPr>
          <w:t>5 GHz</w:t>
        </w:r>
        <w:r w:rsidR="002E32BA">
          <w:rPr>
            <w:webHidden/>
          </w:rPr>
          <w:tab/>
        </w:r>
        <w:r w:rsidR="002E32BA">
          <w:rPr>
            <w:webHidden/>
          </w:rPr>
          <w:fldChar w:fldCharType="begin"/>
        </w:r>
        <w:r w:rsidR="002E32BA">
          <w:rPr>
            <w:webHidden/>
          </w:rPr>
          <w:instrText xml:space="preserve"> PAGEREF _Toc524517109 \h </w:instrText>
        </w:r>
        <w:r w:rsidR="002E32BA">
          <w:rPr>
            <w:webHidden/>
          </w:rPr>
        </w:r>
        <w:r w:rsidR="002E32BA">
          <w:rPr>
            <w:webHidden/>
          </w:rPr>
          <w:fldChar w:fldCharType="separate"/>
        </w:r>
        <w:r w:rsidR="00225A35">
          <w:rPr>
            <w:webHidden/>
          </w:rPr>
          <w:t>60</w:t>
        </w:r>
        <w:r w:rsidR="002E32BA">
          <w:rPr>
            <w:webHidden/>
          </w:rPr>
          <w:fldChar w:fldCharType="end"/>
        </w:r>
      </w:hyperlink>
    </w:p>
    <w:p w14:paraId="65F23317" w14:textId="28AB2358" w:rsidR="002E32BA" w:rsidRDefault="009B17F9">
      <w:pPr>
        <w:pStyle w:val="TOC2"/>
        <w:rPr>
          <w:rFonts w:asciiTheme="minorHAnsi" w:eastAsiaTheme="minorEastAsia" w:hAnsiTheme="minorHAnsi" w:cstheme="minorBidi"/>
          <w:spacing w:val="0"/>
          <w:sz w:val="22"/>
          <w:szCs w:val="22"/>
        </w:rPr>
      </w:pPr>
      <w:hyperlink w:anchor="_Toc524517110" w:history="1">
        <w:r w:rsidR="002E32BA" w:rsidRPr="00E077F6">
          <w:rPr>
            <w:rStyle w:val="Hyperlink"/>
            <w:rFonts w:eastAsiaTheme="majorEastAsia"/>
          </w:rPr>
          <w:t>Allocation priorities and sequencing</w:t>
        </w:r>
        <w:r w:rsidR="002E32BA">
          <w:rPr>
            <w:webHidden/>
          </w:rPr>
          <w:tab/>
        </w:r>
        <w:r w:rsidR="002E32BA">
          <w:rPr>
            <w:webHidden/>
          </w:rPr>
          <w:fldChar w:fldCharType="begin"/>
        </w:r>
        <w:r w:rsidR="002E32BA">
          <w:rPr>
            <w:webHidden/>
          </w:rPr>
          <w:instrText xml:space="preserve"> PAGEREF _Toc524517110 \h </w:instrText>
        </w:r>
        <w:r w:rsidR="002E32BA">
          <w:rPr>
            <w:webHidden/>
          </w:rPr>
        </w:r>
        <w:r w:rsidR="002E32BA">
          <w:rPr>
            <w:webHidden/>
          </w:rPr>
          <w:fldChar w:fldCharType="separate"/>
        </w:r>
        <w:r w:rsidR="00225A35">
          <w:rPr>
            <w:webHidden/>
          </w:rPr>
          <w:t>60</w:t>
        </w:r>
        <w:r w:rsidR="002E32BA">
          <w:rPr>
            <w:webHidden/>
          </w:rPr>
          <w:fldChar w:fldCharType="end"/>
        </w:r>
      </w:hyperlink>
    </w:p>
    <w:p w14:paraId="179EDE83" w14:textId="328075A7" w:rsidR="002E32BA" w:rsidRDefault="009B17F9">
      <w:pPr>
        <w:pStyle w:val="TOC3"/>
        <w:rPr>
          <w:rFonts w:asciiTheme="minorHAnsi" w:eastAsiaTheme="minorEastAsia" w:hAnsiTheme="minorHAnsi" w:cstheme="minorBidi"/>
        </w:rPr>
      </w:pPr>
      <w:hyperlink w:anchor="_Toc524517111" w:history="1">
        <w:r w:rsidR="002E32BA" w:rsidRPr="00E077F6">
          <w:rPr>
            <w:rStyle w:val="Hyperlink"/>
          </w:rPr>
          <w:t>Timing considerations</w:t>
        </w:r>
        <w:r w:rsidR="002E32BA">
          <w:rPr>
            <w:webHidden/>
          </w:rPr>
          <w:tab/>
        </w:r>
        <w:r w:rsidR="002E32BA">
          <w:rPr>
            <w:webHidden/>
          </w:rPr>
          <w:fldChar w:fldCharType="begin"/>
        </w:r>
        <w:r w:rsidR="002E32BA">
          <w:rPr>
            <w:webHidden/>
          </w:rPr>
          <w:instrText xml:space="preserve"> PAGEREF _Toc524517111 \h </w:instrText>
        </w:r>
        <w:r w:rsidR="002E32BA">
          <w:rPr>
            <w:webHidden/>
          </w:rPr>
        </w:r>
        <w:r w:rsidR="002E32BA">
          <w:rPr>
            <w:webHidden/>
          </w:rPr>
          <w:fldChar w:fldCharType="separate"/>
        </w:r>
        <w:r w:rsidR="00225A35">
          <w:rPr>
            <w:webHidden/>
          </w:rPr>
          <w:t>61</w:t>
        </w:r>
        <w:r w:rsidR="002E32BA">
          <w:rPr>
            <w:webHidden/>
          </w:rPr>
          <w:fldChar w:fldCharType="end"/>
        </w:r>
      </w:hyperlink>
    </w:p>
    <w:p w14:paraId="44CB034F" w14:textId="5CD02762" w:rsidR="002E32BA" w:rsidRDefault="009B17F9">
      <w:pPr>
        <w:pStyle w:val="TOC1"/>
        <w:rPr>
          <w:rFonts w:asciiTheme="minorHAnsi" w:eastAsiaTheme="minorEastAsia" w:hAnsiTheme="minorHAnsi" w:cstheme="minorBidi"/>
          <w:b w:val="0"/>
          <w:spacing w:val="0"/>
          <w:sz w:val="22"/>
          <w:szCs w:val="22"/>
        </w:rPr>
      </w:pPr>
      <w:hyperlink w:anchor="_Toc524517112" w:history="1">
        <w:r w:rsidR="002E32BA" w:rsidRPr="00E077F6">
          <w:rPr>
            <w:rStyle w:val="Hyperlink"/>
          </w:rPr>
          <w:t>Spectrum Review implementation</w:t>
        </w:r>
        <w:r w:rsidR="002E32BA">
          <w:rPr>
            <w:webHidden/>
          </w:rPr>
          <w:tab/>
        </w:r>
        <w:r w:rsidR="002E32BA">
          <w:rPr>
            <w:webHidden/>
          </w:rPr>
          <w:fldChar w:fldCharType="begin"/>
        </w:r>
        <w:r w:rsidR="002E32BA">
          <w:rPr>
            <w:webHidden/>
          </w:rPr>
          <w:instrText xml:space="preserve"> PAGEREF _Toc524517112 \h </w:instrText>
        </w:r>
        <w:r w:rsidR="002E32BA">
          <w:rPr>
            <w:webHidden/>
          </w:rPr>
        </w:r>
        <w:r w:rsidR="002E32BA">
          <w:rPr>
            <w:webHidden/>
          </w:rPr>
          <w:fldChar w:fldCharType="separate"/>
        </w:r>
        <w:r w:rsidR="00225A35">
          <w:rPr>
            <w:webHidden/>
          </w:rPr>
          <w:t>63</w:t>
        </w:r>
        <w:r w:rsidR="002E32BA">
          <w:rPr>
            <w:webHidden/>
          </w:rPr>
          <w:fldChar w:fldCharType="end"/>
        </w:r>
      </w:hyperlink>
    </w:p>
    <w:p w14:paraId="3B4ABE9F" w14:textId="327144E9" w:rsidR="002E32BA" w:rsidRDefault="009B17F9">
      <w:pPr>
        <w:pStyle w:val="TOC2"/>
        <w:rPr>
          <w:rFonts w:asciiTheme="minorHAnsi" w:eastAsiaTheme="minorEastAsia" w:hAnsiTheme="minorHAnsi" w:cstheme="minorBidi"/>
          <w:spacing w:val="0"/>
          <w:sz w:val="22"/>
          <w:szCs w:val="22"/>
        </w:rPr>
      </w:pPr>
      <w:hyperlink w:anchor="_Toc524517113" w:history="1">
        <w:r w:rsidR="002E32BA" w:rsidRPr="00E077F6">
          <w:rPr>
            <w:rStyle w:val="Hyperlink"/>
          </w:rPr>
          <w:t>The reform context</w:t>
        </w:r>
        <w:r w:rsidR="002E32BA">
          <w:rPr>
            <w:webHidden/>
          </w:rPr>
          <w:tab/>
        </w:r>
        <w:r w:rsidR="002E32BA">
          <w:rPr>
            <w:webHidden/>
          </w:rPr>
          <w:fldChar w:fldCharType="begin"/>
        </w:r>
        <w:r w:rsidR="002E32BA">
          <w:rPr>
            <w:webHidden/>
          </w:rPr>
          <w:instrText xml:space="preserve"> PAGEREF _Toc524517113 \h </w:instrText>
        </w:r>
        <w:r w:rsidR="002E32BA">
          <w:rPr>
            <w:webHidden/>
          </w:rPr>
        </w:r>
        <w:r w:rsidR="002E32BA">
          <w:rPr>
            <w:webHidden/>
          </w:rPr>
          <w:fldChar w:fldCharType="separate"/>
        </w:r>
        <w:r w:rsidR="00225A35">
          <w:rPr>
            <w:webHidden/>
          </w:rPr>
          <w:t>63</w:t>
        </w:r>
        <w:r w:rsidR="002E32BA">
          <w:rPr>
            <w:webHidden/>
          </w:rPr>
          <w:fldChar w:fldCharType="end"/>
        </w:r>
      </w:hyperlink>
    </w:p>
    <w:p w14:paraId="3D7FBA32" w14:textId="06301BB1" w:rsidR="002E32BA" w:rsidRDefault="009B17F9">
      <w:pPr>
        <w:pStyle w:val="TOC2"/>
        <w:rPr>
          <w:rFonts w:asciiTheme="minorHAnsi" w:eastAsiaTheme="minorEastAsia" w:hAnsiTheme="minorHAnsi" w:cstheme="minorBidi"/>
          <w:spacing w:val="0"/>
          <w:sz w:val="22"/>
          <w:szCs w:val="22"/>
        </w:rPr>
      </w:pPr>
      <w:hyperlink w:anchor="_Toc524517114" w:history="1">
        <w:r w:rsidR="002E32BA" w:rsidRPr="00E077F6">
          <w:rPr>
            <w:rStyle w:val="Hyperlink"/>
          </w:rPr>
          <w:t>ACMA approach to implementing the Spectrum Review</w:t>
        </w:r>
        <w:r w:rsidR="002E32BA">
          <w:rPr>
            <w:webHidden/>
          </w:rPr>
          <w:tab/>
        </w:r>
        <w:r w:rsidR="002E32BA">
          <w:rPr>
            <w:webHidden/>
          </w:rPr>
          <w:fldChar w:fldCharType="begin"/>
        </w:r>
        <w:r w:rsidR="002E32BA">
          <w:rPr>
            <w:webHidden/>
          </w:rPr>
          <w:instrText xml:space="preserve"> PAGEREF _Toc524517114 \h </w:instrText>
        </w:r>
        <w:r w:rsidR="002E32BA">
          <w:rPr>
            <w:webHidden/>
          </w:rPr>
        </w:r>
        <w:r w:rsidR="002E32BA">
          <w:rPr>
            <w:webHidden/>
          </w:rPr>
          <w:fldChar w:fldCharType="separate"/>
        </w:r>
        <w:r w:rsidR="00225A35">
          <w:rPr>
            <w:webHidden/>
          </w:rPr>
          <w:t>63</w:t>
        </w:r>
        <w:r w:rsidR="002E32BA">
          <w:rPr>
            <w:webHidden/>
          </w:rPr>
          <w:fldChar w:fldCharType="end"/>
        </w:r>
      </w:hyperlink>
    </w:p>
    <w:p w14:paraId="6816E13C" w14:textId="4FDF489A" w:rsidR="002E32BA" w:rsidRDefault="009B17F9">
      <w:pPr>
        <w:pStyle w:val="TOC2"/>
        <w:rPr>
          <w:rFonts w:asciiTheme="minorHAnsi" w:eastAsiaTheme="minorEastAsia" w:hAnsiTheme="minorHAnsi" w:cstheme="minorBidi"/>
          <w:spacing w:val="0"/>
          <w:sz w:val="22"/>
          <w:szCs w:val="22"/>
        </w:rPr>
      </w:pPr>
      <w:hyperlink w:anchor="_Toc524517115"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_Toc524517115 \h </w:instrText>
        </w:r>
        <w:r w:rsidR="002E32BA">
          <w:rPr>
            <w:webHidden/>
          </w:rPr>
        </w:r>
        <w:r w:rsidR="002E32BA">
          <w:rPr>
            <w:webHidden/>
          </w:rPr>
          <w:fldChar w:fldCharType="separate"/>
        </w:r>
        <w:r w:rsidR="00225A35">
          <w:rPr>
            <w:webHidden/>
          </w:rPr>
          <w:t>63</w:t>
        </w:r>
        <w:r w:rsidR="002E32BA">
          <w:rPr>
            <w:webHidden/>
          </w:rPr>
          <w:fldChar w:fldCharType="end"/>
        </w:r>
      </w:hyperlink>
    </w:p>
    <w:p w14:paraId="50CBA92A" w14:textId="13FD04C3" w:rsidR="002E32BA" w:rsidRDefault="009B17F9">
      <w:pPr>
        <w:pStyle w:val="TOC2"/>
        <w:rPr>
          <w:rFonts w:asciiTheme="minorHAnsi" w:eastAsiaTheme="minorEastAsia" w:hAnsiTheme="minorHAnsi" w:cstheme="minorBidi"/>
          <w:spacing w:val="0"/>
          <w:sz w:val="22"/>
          <w:szCs w:val="22"/>
        </w:rPr>
      </w:pPr>
      <w:hyperlink w:anchor="_Toc524517116" w:history="1">
        <w:r w:rsidR="002E32BA" w:rsidRPr="00E077F6">
          <w:rPr>
            <w:rStyle w:val="Hyperlink"/>
          </w:rPr>
          <w:t>New/ongoing activities planned for 2018–19</w:t>
        </w:r>
        <w:r w:rsidR="002E32BA">
          <w:rPr>
            <w:webHidden/>
          </w:rPr>
          <w:tab/>
        </w:r>
        <w:r w:rsidR="002E32BA">
          <w:rPr>
            <w:webHidden/>
          </w:rPr>
          <w:fldChar w:fldCharType="begin"/>
        </w:r>
        <w:r w:rsidR="002E32BA">
          <w:rPr>
            <w:webHidden/>
          </w:rPr>
          <w:instrText xml:space="preserve"> PAGEREF _Toc524517116 \h </w:instrText>
        </w:r>
        <w:r w:rsidR="002E32BA">
          <w:rPr>
            <w:webHidden/>
          </w:rPr>
        </w:r>
        <w:r w:rsidR="002E32BA">
          <w:rPr>
            <w:webHidden/>
          </w:rPr>
          <w:fldChar w:fldCharType="separate"/>
        </w:r>
        <w:r w:rsidR="00225A35">
          <w:rPr>
            <w:webHidden/>
          </w:rPr>
          <w:t>64</w:t>
        </w:r>
        <w:r w:rsidR="002E32BA">
          <w:rPr>
            <w:webHidden/>
          </w:rPr>
          <w:fldChar w:fldCharType="end"/>
        </w:r>
      </w:hyperlink>
    </w:p>
    <w:p w14:paraId="30259F74" w14:textId="2D6204CE" w:rsidR="002E32BA" w:rsidRDefault="009B17F9">
      <w:pPr>
        <w:pStyle w:val="TOC3"/>
        <w:rPr>
          <w:rFonts w:asciiTheme="minorHAnsi" w:eastAsiaTheme="minorEastAsia" w:hAnsiTheme="minorHAnsi" w:cstheme="minorBidi"/>
        </w:rPr>
      </w:pPr>
      <w:hyperlink w:anchor="_Toc524517117" w:history="1">
        <w:r w:rsidR="002E32BA" w:rsidRPr="00E077F6">
          <w:rPr>
            <w:rStyle w:val="Hyperlink"/>
          </w:rPr>
          <w:t>Annual work program</w:t>
        </w:r>
        <w:r w:rsidR="002E32BA">
          <w:rPr>
            <w:webHidden/>
          </w:rPr>
          <w:tab/>
        </w:r>
        <w:r w:rsidR="002E32BA">
          <w:rPr>
            <w:webHidden/>
          </w:rPr>
          <w:fldChar w:fldCharType="begin"/>
        </w:r>
        <w:r w:rsidR="002E32BA">
          <w:rPr>
            <w:webHidden/>
          </w:rPr>
          <w:instrText xml:space="preserve"> PAGEREF _Toc524517117 \h </w:instrText>
        </w:r>
        <w:r w:rsidR="002E32BA">
          <w:rPr>
            <w:webHidden/>
          </w:rPr>
        </w:r>
        <w:r w:rsidR="002E32BA">
          <w:rPr>
            <w:webHidden/>
          </w:rPr>
          <w:fldChar w:fldCharType="separate"/>
        </w:r>
        <w:r w:rsidR="00225A35">
          <w:rPr>
            <w:webHidden/>
          </w:rPr>
          <w:t>64</w:t>
        </w:r>
        <w:r w:rsidR="002E32BA">
          <w:rPr>
            <w:webHidden/>
          </w:rPr>
          <w:fldChar w:fldCharType="end"/>
        </w:r>
      </w:hyperlink>
    </w:p>
    <w:p w14:paraId="2E62EDE6" w14:textId="6F1CDEBA" w:rsidR="002E32BA" w:rsidRDefault="009B17F9">
      <w:pPr>
        <w:pStyle w:val="TOC3"/>
        <w:rPr>
          <w:rFonts w:asciiTheme="minorHAnsi" w:eastAsiaTheme="minorEastAsia" w:hAnsiTheme="minorHAnsi" w:cstheme="minorBidi"/>
        </w:rPr>
      </w:pPr>
      <w:hyperlink w:anchor="_Toc524517118" w:history="1">
        <w:r w:rsidR="002E32BA" w:rsidRPr="00E077F6">
          <w:rPr>
            <w:rStyle w:val="Hyperlink"/>
          </w:rPr>
          <w:t>Licensing</w:t>
        </w:r>
        <w:r w:rsidR="002E32BA">
          <w:rPr>
            <w:webHidden/>
          </w:rPr>
          <w:tab/>
        </w:r>
        <w:r w:rsidR="002E32BA">
          <w:rPr>
            <w:webHidden/>
          </w:rPr>
          <w:fldChar w:fldCharType="begin"/>
        </w:r>
        <w:r w:rsidR="002E32BA">
          <w:rPr>
            <w:webHidden/>
          </w:rPr>
          <w:instrText xml:space="preserve"> PAGEREF _Toc524517118 \h </w:instrText>
        </w:r>
        <w:r w:rsidR="002E32BA">
          <w:rPr>
            <w:webHidden/>
          </w:rPr>
        </w:r>
        <w:r w:rsidR="002E32BA">
          <w:rPr>
            <w:webHidden/>
          </w:rPr>
          <w:fldChar w:fldCharType="separate"/>
        </w:r>
        <w:r w:rsidR="00225A35">
          <w:rPr>
            <w:webHidden/>
          </w:rPr>
          <w:t>64</w:t>
        </w:r>
        <w:r w:rsidR="002E32BA">
          <w:rPr>
            <w:webHidden/>
          </w:rPr>
          <w:fldChar w:fldCharType="end"/>
        </w:r>
      </w:hyperlink>
    </w:p>
    <w:p w14:paraId="244D5258" w14:textId="3A0F8A48" w:rsidR="002E32BA" w:rsidRDefault="009B17F9">
      <w:pPr>
        <w:pStyle w:val="TOC3"/>
        <w:rPr>
          <w:rFonts w:asciiTheme="minorHAnsi" w:eastAsiaTheme="minorEastAsia" w:hAnsiTheme="minorHAnsi" w:cstheme="minorBidi"/>
        </w:rPr>
      </w:pPr>
      <w:hyperlink w:anchor="_Toc524517119" w:history="1">
        <w:r w:rsidR="002E32BA" w:rsidRPr="00E077F6">
          <w:rPr>
            <w:rStyle w:val="Hyperlink"/>
          </w:rPr>
          <w:t>Pricing</w:t>
        </w:r>
        <w:r w:rsidR="002E32BA">
          <w:rPr>
            <w:webHidden/>
          </w:rPr>
          <w:tab/>
        </w:r>
        <w:r w:rsidR="002E32BA">
          <w:rPr>
            <w:webHidden/>
          </w:rPr>
          <w:fldChar w:fldCharType="begin"/>
        </w:r>
        <w:r w:rsidR="002E32BA">
          <w:rPr>
            <w:webHidden/>
          </w:rPr>
          <w:instrText xml:space="preserve"> PAGEREF _Toc524517119 \h </w:instrText>
        </w:r>
        <w:r w:rsidR="002E32BA">
          <w:rPr>
            <w:webHidden/>
          </w:rPr>
        </w:r>
        <w:r w:rsidR="002E32BA">
          <w:rPr>
            <w:webHidden/>
          </w:rPr>
          <w:fldChar w:fldCharType="separate"/>
        </w:r>
        <w:r w:rsidR="00225A35">
          <w:rPr>
            <w:webHidden/>
          </w:rPr>
          <w:t>64</w:t>
        </w:r>
        <w:r w:rsidR="002E32BA">
          <w:rPr>
            <w:webHidden/>
          </w:rPr>
          <w:fldChar w:fldCharType="end"/>
        </w:r>
      </w:hyperlink>
    </w:p>
    <w:p w14:paraId="455CBFE0" w14:textId="774A9940" w:rsidR="002E32BA" w:rsidRDefault="009B17F9">
      <w:pPr>
        <w:pStyle w:val="TOC3"/>
        <w:rPr>
          <w:rFonts w:asciiTheme="minorHAnsi" w:eastAsiaTheme="minorEastAsia" w:hAnsiTheme="minorHAnsi" w:cstheme="minorBidi"/>
        </w:rPr>
      </w:pPr>
      <w:hyperlink w:anchor="_Toc524517120" w:history="1">
        <w:r w:rsidR="002E32BA" w:rsidRPr="00E077F6">
          <w:rPr>
            <w:rStyle w:val="Hyperlink"/>
          </w:rPr>
          <w:t>Planning</w:t>
        </w:r>
        <w:r w:rsidR="002E32BA">
          <w:rPr>
            <w:webHidden/>
          </w:rPr>
          <w:tab/>
        </w:r>
        <w:r w:rsidR="002E32BA">
          <w:rPr>
            <w:webHidden/>
          </w:rPr>
          <w:fldChar w:fldCharType="begin"/>
        </w:r>
        <w:r w:rsidR="002E32BA">
          <w:rPr>
            <w:webHidden/>
          </w:rPr>
          <w:instrText xml:space="preserve"> PAGEREF _Toc524517120 \h </w:instrText>
        </w:r>
        <w:r w:rsidR="002E32BA">
          <w:rPr>
            <w:webHidden/>
          </w:rPr>
        </w:r>
        <w:r w:rsidR="002E32BA">
          <w:rPr>
            <w:webHidden/>
          </w:rPr>
          <w:fldChar w:fldCharType="separate"/>
        </w:r>
        <w:r w:rsidR="00225A35">
          <w:rPr>
            <w:webHidden/>
          </w:rPr>
          <w:t>64</w:t>
        </w:r>
        <w:r w:rsidR="002E32BA">
          <w:rPr>
            <w:webHidden/>
          </w:rPr>
          <w:fldChar w:fldCharType="end"/>
        </w:r>
      </w:hyperlink>
    </w:p>
    <w:p w14:paraId="1239E046" w14:textId="2D83FB0A" w:rsidR="002E32BA" w:rsidRDefault="009B17F9">
      <w:pPr>
        <w:pStyle w:val="TOC3"/>
        <w:rPr>
          <w:rFonts w:asciiTheme="minorHAnsi" w:eastAsiaTheme="minorEastAsia" w:hAnsiTheme="minorHAnsi" w:cstheme="minorBidi"/>
        </w:rPr>
      </w:pPr>
      <w:hyperlink w:anchor="_Toc524517121" w:history="1">
        <w:r w:rsidR="002E32BA" w:rsidRPr="00E077F6">
          <w:rPr>
            <w:rStyle w:val="Hyperlink"/>
          </w:rPr>
          <w:t>Interference management</w:t>
        </w:r>
        <w:r w:rsidR="002E32BA">
          <w:rPr>
            <w:webHidden/>
          </w:rPr>
          <w:tab/>
        </w:r>
        <w:r w:rsidR="002E32BA">
          <w:rPr>
            <w:webHidden/>
          </w:rPr>
          <w:fldChar w:fldCharType="begin"/>
        </w:r>
        <w:r w:rsidR="002E32BA">
          <w:rPr>
            <w:webHidden/>
          </w:rPr>
          <w:instrText xml:space="preserve"> PAGEREF _Toc524517121 \h </w:instrText>
        </w:r>
        <w:r w:rsidR="002E32BA">
          <w:rPr>
            <w:webHidden/>
          </w:rPr>
        </w:r>
        <w:r w:rsidR="002E32BA">
          <w:rPr>
            <w:webHidden/>
          </w:rPr>
          <w:fldChar w:fldCharType="separate"/>
        </w:r>
        <w:r w:rsidR="00225A35">
          <w:rPr>
            <w:webHidden/>
          </w:rPr>
          <w:t>64</w:t>
        </w:r>
        <w:r w:rsidR="002E32BA">
          <w:rPr>
            <w:webHidden/>
          </w:rPr>
          <w:fldChar w:fldCharType="end"/>
        </w:r>
      </w:hyperlink>
    </w:p>
    <w:p w14:paraId="515DA67C" w14:textId="7E55AB59" w:rsidR="002E32BA" w:rsidRDefault="009B17F9">
      <w:pPr>
        <w:pStyle w:val="TOC3"/>
        <w:rPr>
          <w:rFonts w:asciiTheme="minorHAnsi" w:eastAsiaTheme="minorEastAsia" w:hAnsiTheme="minorHAnsi" w:cstheme="minorBidi"/>
        </w:rPr>
      </w:pPr>
      <w:hyperlink w:anchor="_Toc524517122" w:history="1">
        <w:r w:rsidR="002E32BA" w:rsidRPr="00E077F6">
          <w:rPr>
            <w:rStyle w:val="Hyperlink"/>
          </w:rPr>
          <w:t>Equipment rules</w:t>
        </w:r>
        <w:r w:rsidR="002E32BA">
          <w:rPr>
            <w:webHidden/>
          </w:rPr>
          <w:tab/>
        </w:r>
        <w:r w:rsidR="002E32BA">
          <w:rPr>
            <w:webHidden/>
          </w:rPr>
          <w:fldChar w:fldCharType="begin"/>
        </w:r>
        <w:r w:rsidR="002E32BA">
          <w:rPr>
            <w:webHidden/>
          </w:rPr>
          <w:instrText xml:space="preserve"> PAGEREF _Toc524517122 \h </w:instrText>
        </w:r>
        <w:r w:rsidR="002E32BA">
          <w:rPr>
            <w:webHidden/>
          </w:rPr>
        </w:r>
        <w:r w:rsidR="002E32BA">
          <w:rPr>
            <w:webHidden/>
          </w:rPr>
          <w:fldChar w:fldCharType="separate"/>
        </w:r>
        <w:r w:rsidR="00225A35">
          <w:rPr>
            <w:webHidden/>
          </w:rPr>
          <w:t>65</w:t>
        </w:r>
        <w:r w:rsidR="002E32BA">
          <w:rPr>
            <w:webHidden/>
          </w:rPr>
          <w:fldChar w:fldCharType="end"/>
        </w:r>
      </w:hyperlink>
    </w:p>
    <w:p w14:paraId="10C8C0B6" w14:textId="5FD3D324" w:rsidR="002E32BA" w:rsidRDefault="009B17F9">
      <w:pPr>
        <w:pStyle w:val="TOC3"/>
        <w:rPr>
          <w:rFonts w:asciiTheme="minorHAnsi" w:eastAsiaTheme="minorEastAsia" w:hAnsiTheme="minorHAnsi" w:cstheme="minorBidi"/>
        </w:rPr>
      </w:pPr>
      <w:hyperlink w:anchor="_Toc524517123" w:history="1">
        <w:r w:rsidR="002E32BA" w:rsidRPr="00E077F6">
          <w:rPr>
            <w:rStyle w:val="Hyperlink"/>
          </w:rPr>
          <w:t>Accreditation arrangements</w:t>
        </w:r>
        <w:r w:rsidR="002E32BA">
          <w:rPr>
            <w:webHidden/>
          </w:rPr>
          <w:tab/>
        </w:r>
        <w:r w:rsidR="002E32BA">
          <w:rPr>
            <w:webHidden/>
          </w:rPr>
          <w:fldChar w:fldCharType="begin"/>
        </w:r>
        <w:r w:rsidR="002E32BA">
          <w:rPr>
            <w:webHidden/>
          </w:rPr>
          <w:instrText xml:space="preserve"> PAGEREF _Toc524517123 \h </w:instrText>
        </w:r>
        <w:r w:rsidR="002E32BA">
          <w:rPr>
            <w:webHidden/>
          </w:rPr>
        </w:r>
        <w:r w:rsidR="002E32BA">
          <w:rPr>
            <w:webHidden/>
          </w:rPr>
          <w:fldChar w:fldCharType="separate"/>
        </w:r>
        <w:r w:rsidR="00225A35">
          <w:rPr>
            <w:webHidden/>
          </w:rPr>
          <w:t>65</w:t>
        </w:r>
        <w:r w:rsidR="002E32BA">
          <w:rPr>
            <w:webHidden/>
          </w:rPr>
          <w:fldChar w:fldCharType="end"/>
        </w:r>
      </w:hyperlink>
    </w:p>
    <w:p w14:paraId="0095BB8C" w14:textId="3604B88C" w:rsidR="002E32BA" w:rsidRDefault="009B17F9">
      <w:pPr>
        <w:pStyle w:val="TOC1"/>
        <w:rPr>
          <w:rFonts w:asciiTheme="minorHAnsi" w:eastAsiaTheme="minorEastAsia" w:hAnsiTheme="minorHAnsi" w:cstheme="minorBidi"/>
          <w:b w:val="0"/>
          <w:spacing w:val="0"/>
          <w:sz w:val="22"/>
          <w:szCs w:val="22"/>
        </w:rPr>
      </w:pPr>
      <w:hyperlink w:anchor="_Toc524517124" w:history="1">
        <w:r w:rsidR="002E32BA" w:rsidRPr="00E077F6">
          <w:rPr>
            <w:rStyle w:val="Hyperlink"/>
          </w:rPr>
          <w:t>Licensing and licensing systems</w:t>
        </w:r>
        <w:r w:rsidR="002E32BA">
          <w:rPr>
            <w:webHidden/>
          </w:rPr>
          <w:tab/>
        </w:r>
        <w:r w:rsidR="002E32BA">
          <w:rPr>
            <w:webHidden/>
          </w:rPr>
          <w:fldChar w:fldCharType="begin"/>
        </w:r>
        <w:r w:rsidR="002E32BA">
          <w:rPr>
            <w:webHidden/>
          </w:rPr>
          <w:instrText xml:space="preserve"> PAGEREF _Toc524517124 \h </w:instrText>
        </w:r>
        <w:r w:rsidR="002E32BA">
          <w:rPr>
            <w:webHidden/>
          </w:rPr>
        </w:r>
        <w:r w:rsidR="002E32BA">
          <w:rPr>
            <w:webHidden/>
          </w:rPr>
          <w:fldChar w:fldCharType="separate"/>
        </w:r>
        <w:r w:rsidR="00225A35">
          <w:rPr>
            <w:webHidden/>
          </w:rPr>
          <w:t>66</w:t>
        </w:r>
        <w:r w:rsidR="002E32BA">
          <w:rPr>
            <w:webHidden/>
          </w:rPr>
          <w:fldChar w:fldCharType="end"/>
        </w:r>
      </w:hyperlink>
    </w:p>
    <w:p w14:paraId="0B488A88" w14:textId="2A6A75B5" w:rsidR="002E32BA" w:rsidRDefault="009B17F9">
      <w:pPr>
        <w:pStyle w:val="TOC2"/>
        <w:rPr>
          <w:rFonts w:asciiTheme="minorHAnsi" w:eastAsiaTheme="minorEastAsia" w:hAnsiTheme="minorHAnsi" w:cstheme="minorBidi"/>
          <w:spacing w:val="0"/>
          <w:sz w:val="22"/>
          <w:szCs w:val="22"/>
        </w:rPr>
      </w:pPr>
      <w:hyperlink w:anchor="_Toc524517125"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_Toc524517125 \h </w:instrText>
        </w:r>
        <w:r w:rsidR="002E32BA">
          <w:rPr>
            <w:webHidden/>
          </w:rPr>
        </w:r>
        <w:r w:rsidR="002E32BA">
          <w:rPr>
            <w:webHidden/>
          </w:rPr>
          <w:fldChar w:fldCharType="separate"/>
        </w:r>
        <w:r w:rsidR="00225A35">
          <w:rPr>
            <w:webHidden/>
          </w:rPr>
          <w:t>66</w:t>
        </w:r>
        <w:r w:rsidR="002E32BA">
          <w:rPr>
            <w:webHidden/>
          </w:rPr>
          <w:fldChar w:fldCharType="end"/>
        </w:r>
      </w:hyperlink>
    </w:p>
    <w:p w14:paraId="78F73E5F" w14:textId="17C6F434" w:rsidR="002E32BA" w:rsidRDefault="009B17F9">
      <w:pPr>
        <w:pStyle w:val="TOC3"/>
        <w:rPr>
          <w:rFonts w:asciiTheme="minorHAnsi" w:eastAsiaTheme="minorEastAsia" w:hAnsiTheme="minorHAnsi" w:cstheme="minorBidi"/>
        </w:rPr>
      </w:pPr>
      <w:hyperlink w:anchor="_Toc524517126" w:history="1">
        <w:r w:rsidR="002E32BA" w:rsidRPr="00E077F6">
          <w:rPr>
            <w:rStyle w:val="Hyperlink"/>
          </w:rPr>
          <w:t>Body scanners in airports</w:t>
        </w:r>
        <w:r w:rsidR="002E32BA">
          <w:rPr>
            <w:webHidden/>
          </w:rPr>
          <w:tab/>
        </w:r>
        <w:r w:rsidR="002E32BA">
          <w:rPr>
            <w:webHidden/>
          </w:rPr>
          <w:fldChar w:fldCharType="begin"/>
        </w:r>
        <w:r w:rsidR="002E32BA">
          <w:rPr>
            <w:webHidden/>
          </w:rPr>
          <w:instrText xml:space="preserve"> PAGEREF _Toc524517126 \h </w:instrText>
        </w:r>
        <w:r w:rsidR="002E32BA">
          <w:rPr>
            <w:webHidden/>
          </w:rPr>
        </w:r>
        <w:r w:rsidR="002E32BA">
          <w:rPr>
            <w:webHidden/>
          </w:rPr>
          <w:fldChar w:fldCharType="separate"/>
        </w:r>
        <w:r w:rsidR="00225A35">
          <w:rPr>
            <w:webHidden/>
          </w:rPr>
          <w:t>66</w:t>
        </w:r>
        <w:r w:rsidR="002E32BA">
          <w:rPr>
            <w:webHidden/>
          </w:rPr>
          <w:fldChar w:fldCharType="end"/>
        </w:r>
      </w:hyperlink>
    </w:p>
    <w:p w14:paraId="4020CC58" w14:textId="19C1D1F9" w:rsidR="002E32BA" w:rsidRDefault="009B17F9">
      <w:pPr>
        <w:pStyle w:val="TOC3"/>
        <w:rPr>
          <w:rFonts w:asciiTheme="minorHAnsi" w:eastAsiaTheme="minorEastAsia" w:hAnsiTheme="minorHAnsi" w:cstheme="minorBidi"/>
        </w:rPr>
      </w:pPr>
      <w:hyperlink w:anchor="_Toc524517127" w:history="1">
        <w:r w:rsidR="002E32BA" w:rsidRPr="00E077F6">
          <w:rPr>
            <w:rStyle w:val="Hyperlink"/>
          </w:rPr>
          <w:t>Licensing processing system</w:t>
        </w:r>
        <w:r w:rsidR="002E32BA">
          <w:rPr>
            <w:webHidden/>
          </w:rPr>
          <w:tab/>
        </w:r>
        <w:r w:rsidR="002E32BA">
          <w:rPr>
            <w:webHidden/>
          </w:rPr>
          <w:fldChar w:fldCharType="begin"/>
        </w:r>
        <w:r w:rsidR="002E32BA">
          <w:rPr>
            <w:webHidden/>
          </w:rPr>
          <w:instrText xml:space="preserve"> PAGEREF _Toc524517127 \h </w:instrText>
        </w:r>
        <w:r w:rsidR="002E32BA">
          <w:rPr>
            <w:webHidden/>
          </w:rPr>
        </w:r>
        <w:r w:rsidR="002E32BA">
          <w:rPr>
            <w:webHidden/>
          </w:rPr>
          <w:fldChar w:fldCharType="separate"/>
        </w:r>
        <w:r w:rsidR="00225A35">
          <w:rPr>
            <w:webHidden/>
          </w:rPr>
          <w:t>66</w:t>
        </w:r>
        <w:r w:rsidR="002E32BA">
          <w:rPr>
            <w:webHidden/>
          </w:rPr>
          <w:fldChar w:fldCharType="end"/>
        </w:r>
      </w:hyperlink>
    </w:p>
    <w:p w14:paraId="454C1792" w14:textId="29AC4276" w:rsidR="002E32BA" w:rsidRDefault="009B17F9">
      <w:pPr>
        <w:pStyle w:val="TOC2"/>
        <w:rPr>
          <w:rFonts w:asciiTheme="minorHAnsi" w:eastAsiaTheme="minorEastAsia" w:hAnsiTheme="minorHAnsi" w:cstheme="minorBidi"/>
          <w:spacing w:val="0"/>
          <w:sz w:val="22"/>
          <w:szCs w:val="22"/>
        </w:rPr>
      </w:pPr>
      <w:hyperlink w:anchor="_Toc524517128" w:history="1">
        <w:r w:rsidR="002E32BA" w:rsidRPr="00E077F6">
          <w:rPr>
            <w:rStyle w:val="Hyperlink"/>
          </w:rPr>
          <w:t>New/ongoing activities planned for 2018–19 year</w:t>
        </w:r>
        <w:r w:rsidR="002E32BA">
          <w:rPr>
            <w:webHidden/>
          </w:rPr>
          <w:tab/>
        </w:r>
        <w:r w:rsidR="002E32BA">
          <w:rPr>
            <w:webHidden/>
          </w:rPr>
          <w:fldChar w:fldCharType="begin"/>
        </w:r>
        <w:r w:rsidR="002E32BA">
          <w:rPr>
            <w:webHidden/>
          </w:rPr>
          <w:instrText xml:space="preserve"> PAGEREF _Toc524517128 \h </w:instrText>
        </w:r>
        <w:r w:rsidR="002E32BA">
          <w:rPr>
            <w:webHidden/>
          </w:rPr>
        </w:r>
        <w:r w:rsidR="002E32BA">
          <w:rPr>
            <w:webHidden/>
          </w:rPr>
          <w:fldChar w:fldCharType="separate"/>
        </w:r>
        <w:r w:rsidR="00225A35">
          <w:rPr>
            <w:webHidden/>
          </w:rPr>
          <w:t>66</w:t>
        </w:r>
        <w:r w:rsidR="002E32BA">
          <w:rPr>
            <w:webHidden/>
          </w:rPr>
          <w:fldChar w:fldCharType="end"/>
        </w:r>
      </w:hyperlink>
    </w:p>
    <w:p w14:paraId="13312072" w14:textId="1E80816A" w:rsidR="002E32BA" w:rsidRDefault="009B17F9">
      <w:pPr>
        <w:pStyle w:val="TOC3"/>
        <w:rPr>
          <w:rFonts w:asciiTheme="minorHAnsi" w:eastAsiaTheme="minorEastAsia" w:hAnsiTheme="minorHAnsi" w:cstheme="minorBidi"/>
        </w:rPr>
      </w:pPr>
      <w:hyperlink w:anchor="_Toc524517129" w:history="1">
        <w:r w:rsidR="002E32BA" w:rsidRPr="00E077F6">
          <w:rPr>
            <w:rStyle w:val="Hyperlink"/>
          </w:rPr>
          <w:t>Renew arrangements for amateur certificates of proficiency</w:t>
        </w:r>
        <w:r w:rsidR="002E32BA">
          <w:rPr>
            <w:webHidden/>
          </w:rPr>
          <w:tab/>
        </w:r>
        <w:r w:rsidR="002E32BA">
          <w:rPr>
            <w:webHidden/>
          </w:rPr>
          <w:fldChar w:fldCharType="begin"/>
        </w:r>
        <w:r w:rsidR="002E32BA">
          <w:rPr>
            <w:webHidden/>
          </w:rPr>
          <w:instrText xml:space="preserve"> PAGEREF _Toc524517129 \h </w:instrText>
        </w:r>
        <w:r w:rsidR="002E32BA">
          <w:rPr>
            <w:webHidden/>
          </w:rPr>
        </w:r>
        <w:r w:rsidR="002E32BA">
          <w:rPr>
            <w:webHidden/>
          </w:rPr>
          <w:fldChar w:fldCharType="separate"/>
        </w:r>
        <w:r w:rsidR="00225A35">
          <w:rPr>
            <w:webHidden/>
          </w:rPr>
          <w:t>66</w:t>
        </w:r>
        <w:r w:rsidR="002E32BA">
          <w:rPr>
            <w:webHidden/>
          </w:rPr>
          <w:fldChar w:fldCharType="end"/>
        </w:r>
      </w:hyperlink>
    </w:p>
    <w:p w14:paraId="5EB6782C" w14:textId="4544EEAA" w:rsidR="002E32BA" w:rsidRDefault="009B17F9">
      <w:pPr>
        <w:pStyle w:val="TOC3"/>
        <w:rPr>
          <w:rFonts w:asciiTheme="minorHAnsi" w:eastAsiaTheme="minorEastAsia" w:hAnsiTheme="minorHAnsi" w:cstheme="minorBidi"/>
        </w:rPr>
      </w:pPr>
      <w:hyperlink w:anchor="_Toc524517130" w:history="1">
        <w:r w:rsidR="002E32BA" w:rsidRPr="00E077F6">
          <w:rPr>
            <w:rStyle w:val="Hyperlink"/>
          </w:rPr>
          <w:t>Consideration of changes to amateur licence conditions</w:t>
        </w:r>
        <w:r w:rsidR="002E32BA">
          <w:rPr>
            <w:webHidden/>
          </w:rPr>
          <w:tab/>
        </w:r>
        <w:r w:rsidR="002E32BA">
          <w:rPr>
            <w:webHidden/>
          </w:rPr>
          <w:fldChar w:fldCharType="begin"/>
        </w:r>
        <w:r w:rsidR="002E32BA">
          <w:rPr>
            <w:webHidden/>
          </w:rPr>
          <w:instrText xml:space="preserve"> PAGEREF _Toc524517130 \h </w:instrText>
        </w:r>
        <w:r w:rsidR="002E32BA">
          <w:rPr>
            <w:webHidden/>
          </w:rPr>
        </w:r>
        <w:r w:rsidR="002E32BA">
          <w:rPr>
            <w:webHidden/>
          </w:rPr>
          <w:fldChar w:fldCharType="separate"/>
        </w:r>
        <w:r w:rsidR="00225A35">
          <w:rPr>
            <w:webHidden/>
          </w:rPr>
          <w:t>66</w:t>
        </w:r>
        <w:r w:rsidR="002E32BA">
          <w:rPr>
            <w:webHidden/>
          </w:rPr>
          <w:fldChar w:fldCharType="end"/>
        </w:r>
      </w:hyperlink>
    </w:p>
    <w:p w14:paraId="192D2A1F" w14:textId="0295747B" w:rsidR="002E32BA" w:rsidRDefault="009B17F9">
      <w:pPr>
        <w:pStyle w:val="TOC3"/>
        <w:rPr>
          <w:rFonts w:asciiTheme="minorHAnsi" w:eastAsiaTheme="minorEastAsia" w:hAnsiTheme="minorHAnsi" w:cstheme="minorBidi"/>
        </w:rPr>
      </w:pPr>
      <w:hyperlink w:anchor="_Toc524517131" w:history="1">
        <w:r w:rsidR="002E32BA" w:rsidRPr="00E077F6">
          <w:rPr>
            <w:rStyle w:val="Hyperlink"/>
          </w:rPr>
          <w:t>Enabling trials of mobile phone jammers in prisons</w:t>
        </w:r>
        <w:r w:rsidR="002E32BA">
          <w:rPr>
            <w:webHidden/>
          </w:rPr>
          <w:tab/>
        </w:r>
        <w:r w:rsidR="002E32BA">
          <w:rPr>
            <w:webHidden/>
          </w:rPr>
          <w:fldChar w:fldCharType="begin"/>
        </w:r>
        <w:r w:rsidR="002E32BA">
          <w:rPr>
            <w:webHidden/>
          </w:rPr>
          <w:instrText xml:space="preserve"> PAGEREF _Toc524517131 \h </w:instrText>
        </w:r>
        <w:r w:rsidR="002E32BA">
          <w:rPr>
            <w:webHidden/>
          </w:rPr>
        </w:r>
        <w:r w:rsidR="002E32BA">
          <w:rPr>
            <w:webHidden/>
          </w:rPr>
          <w:fldChar w:fldCharType="separate"/>
        </w:r>
        <w:r w:rsidR="00225A35">
          <w:rPr>
            <w:webHidden/>
          </w:rPr>
          <w:t>66</w:t>
        </w:r>
        <w:r w:rsidR="002E32BA">
          <w:rPr>
            <w:webHidden/>
          </w:rPr>
          <w:fldChar w:fldCharType="end"/>
        </w:r>
      </w:hyperlink>
    </w:p>
    <w:p w14:paraId="74B59D95" w14:textId="7DBDF7D2" w:rsidR="002E32BA" w:rsidRDefault="009B17F9">
      <w:pPr>
        <w:pStyle w:val="TOC3"/>
        <w:rPr>
          <w:rFonts w:asciiTheme="minorHAnsi" w:eastAsiaTheme="minorEastAsia" w:hAnsiTheme="minorHAnsi" w:cstheme="minorBidi"/>
        </w:rPr>
      </w:pPr>
      <w:hyperlink w:anchor="_Toc524517132" w:history="1">
        <w:r w:rsidR="002E32BA" w:rsidRPr="00E077F6">
          <w:rPr>
            <w:rStyle w:val="Hyperlink"/>
          </w:rPr>
          <w:t>Consider changes to VHF marine radio channels and their use</w:t>
        </w:r>
        <w:r w:rsidR="002E32BA">
          <w:rPr>
            <w:webHidden/>
          </w:rPr>
          <w:tab/>
        </w:r>
        <w:r w:rsidR="002E32BA">
          <w:rPr>
            <w:webHidden/>
          </w:rPr>
          <w:fldChar w:fldCharType="begin"/>
        </w:r>
        <w:r w:rsidR="002E32BA">
          <w:rPr>
            <w:webHidden/>
          </w:rPr>
          <w:instrText xml:space="preserve"> PAGEREF _Toc524517132 \h </w:instrText>
        </w:r>
        <w:r w:rsidR="002E32BA">
          <w:rPr>
            <w:webHidden/>
          </w:rPr>
        </w:r>
        <w:r w:rsidR="002E32BA">
          <w:rPr>
            <w:webHidden/>
          </w:rPr>
          <w:fldChar w:fldCharType="separate"/>
        </w:r>
        <w:r w:rsidR="00225A35">
          <w:rPr>
            <w:webHidden/>
          </w:rPr>
          <w:t>67</w:t>
        </w:r>
        <w:r w:rsidR="002E32BA">
          <w:rPr>
            <w:webHidden/>
          </w:rPr>
          <w:fldChar w:fldCharType="end"/>
        </w:r>
      </w:hyperlink>
    </w:p>
    <w:p w14:paraId="766B516A" w14:textId="57D84C3D" w:rsidR="002E32BA" w:rsidRDefault="009B17F9">
      <w:pPr>
        <w:pStyle w:val="TOC3"/>
        <w:rPr>
          <w:rFonts w:asciiTheme="minorHAnsi" w:eastAsiaTheme="minorEastAsia" w:hAnsiTheme="minorHAnsi" w:cstheme="minorBidi"/>
        </w:rPr>
      </w:pPr>
      <w:hyperlink w:anchor="_Toc524517133" w:history="1">
        <w:r w:rsidR="002E32BA" w:rsidRPr="00E077F6">
          <w:rPr>
            <w:rStyle w:val="Hyperlink"/>
          </w:rPr>
          <w:t>400 MHz band</w:t>
        </w:r>
        <w:r w:rsidR="002E32BA">
          <w:rPr>
            <w:webHidden/>
          </w:rPr>
          <w:tab/>
        </w:r>
        <w:r w:rsidR="002E32BA">
          <w:rPr>
            <w:webHidden/>
          </w:rPr>
          <w:fldChar w:fldCharType="begin"/>
        </w:r>
        <w:r w:rsidR="002E32BA">
          <w:rPr>
            <w:webHidden/>
          </w:rPr>
          <w:instrText xml:space="preserve"> PAGEREF _Toc524517133 \h </w:instrText>
        </w:r>
        <w:r w:rsidR="002E32BA">
          <w:rPr>
            <w:webHidden/>
          </w:rPr>
        </w:r>
        <w:r w:rsidR="002E32BA">
          <w:rPr>
            <w:webHidden/>
          </w:rPr>
          <w:fldChar w:fldCharType="separate"/>
        </w:r>
        <w:r w:rsidR="00225A35">
          <w:rPr>
            <w:webHidden/>
          </w:rPr>
          <w:t>67</w:t>
        </w:r>
        <w:r w:rsidR="002E32BA">
          <w:rPr>
            <w:webHidden/>
          </w:rPr>
          <w:fldChar w:fldCharType="end"/>
        </w:r>
      </w:hyperlink>
    </w:p>
    <w:p w14:paraId="0E1F4C1E" w14:textId="15262739" w:rsidR="002E32BA" w:rsidRDefault="009B17F9">
      <w:pPr>
        <w:pStyle w:val="TOC3"/>
        <w:rPr>
          <w:rFonts w:asciiTheme="minorHAnsi" w:eastAsiaTheme="minorEastAsia" w:hAnsiTheme="minorHAnsi" w:cstheme="minorBidi"/>
        </w:rPr>
      </w:pPr>
      <w:hyperlink w:anchor="_Toc524517134" w:history="1">
        <w:r w:rsidR="002E32BA" w:rsidRPr="00E077F6">
          <w:rPr>
            <w:rStyle w:val="Hyperlink"/>
          </w:rPr>
          <w:t>Drone regulation</w:t>
        </w:r>
        <w:r w:rsidR="002E32BA">
          <w:rPr>
            <w:webHidden/>
          </w:rPr>
          <w:tab/>
        </w:r>
        <w:r w:rsidR="002E32BA">
          <w:rPr>
            <w:webHidden/>
          </w:rPr>
          <w:fldChar w:fldCharType="begin"/>
        </w:r>
        <w:r w:rsidR="002E32BA">
          <w:rPr>
            <w:webHidden/>
          </w:rPr>
          <w:instrText xml:space="preserve"> PAGEREF _Toc524517134 \h </w:instrText>
        </w:r>
        <w:r w:rsidR="002E32BA">
          <w:rPr>
            <w:webHidden/>
          </w:rPr>
        </w:r>
        <w:r w:rsidR="002E32BA">
          <w:rPr>
            <w:webHidden/>
          </w:rPr>
          <w:fldChar w:fldCharType="separate"/>
        </w:r>
        <w:r w:rsidR="00225A35">
          <w:rPr>
            <w:webHidden/>
          </w:rPr>
          <w:t>67</w:t>
        </w:r>
        <w:r w:rsidR="002E32BA">
          <w:rPr>
            <w:webHidden/>
          </w:rPr>
          <w:fldChar w:fldCharType="end"/>
        </w:r>
      </w:hyperlink>
    </w:p>
    <w:p w14:paraId="61B7D112" w14:textId="79CA2A35" w:rsidR="002E32BA" w:rsidRDefault="009B17F9" w:rsidP="002E32BA">
      <w:pPr>
        <w:pStyle w:val="TOC1"/>
        <w:keepNext/>
        <w:rPr>
          <w:rFonts w:asciiTheme="minorHAnsi" w:eastAsiaTheme="minorEastAsia" w:hAnsiTheme="minorHAnsi" w:cstheme="minorBidi"/>
          <w:b w:val="0"/>
          <w:spacing w:val="0"/>
          <w:sz w:val="22"/>
          <w:szCs w:val="22"/>
        </w:rPr>
      </w:pPr>
      <w:hyperlink w:anchor="_Toc524517135" w:history="1">
        <w:r w:rsidR="002E32BA" w:rsidRPr="00E077F6">
          <w:rPr>
            <w:rStyle w:val="Hyperlink"/>
          </w:rPr>
          <w:t>Pricing</w:t>
        </w:r>
        <w:r w:rsidR="002E32BA">
          <w:rPr>
            <w:webHidden/>
          </w:rPr>
          <w:tab/>
        </w:r>
        <w:r w:rsidR="002E32BA">
          <w:rPr>
            <w:webHidden/>
          </w:rPr>
          <w:fldChar w:fldCharType="begin"/>
        </w:r>
        <w:r w:rsidR="002E32BA">
          <w:rPr>
            <w:webHidden/>
          </w:rPr>
          <w:instrText xml:space="preserve"> PAGEREF _Toc524517135 \h </w:instrText>
        </w:r>
        <w:r w:rsidR="002E32BA">
          <w:rPr>
            <w:webHidden/>
          </w:rPr>
        </w:r>
        <w:r w:rsidR="002E32BA">
          <w:rPr>
            <w:webHidden/>
          </w:rPr>
          <w:fldChar w:fldCharType="separate"/>
        </w:r>
        <w:r w:rsidR="00225A35">
          <w:rPr>
            <w:webHidden/>
          </w:rPr>
          <w:t>68</w:t>
        </w:r>
        <w:r w:rsidR="002E32BA">
          <w:rPr>
            <w:webHidden/>
          </w:rPr>
          <w:fldChar w:fldCharType="end"/>
        </w:r>
      </w:hyperlink>
    </w:p>
    <w:p w14:paraId="63DC85E4" w14:textId="4101067F" w:rsidR="002E32BA" w:rsidRDefault="009B17F9">
      <w:pPr>
        <w:pStyle w:val="TOC2"/>
        <w:rPr>
          <w:rFonts w:asciiTheme="minorHAnsi" w:eastAsiaTheme="minorEastAsia" w:hAnsiTheme="minorHAnsi" w:cstheme="minorBidi"/>
          <w:spacing w:val="0"/>
          <w:sz w:val="22"/>
          <w:szCs w:val="22"/>
        </w:rPr>
      </w:pPr>
      <w:hyperlink w:anchor="_Toc524517136"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_Toc524517136 \h </w:instrText>
        </w:r>
        <w:r w:rsidR="002E32BA">
          <w:rPr>
            <w:webHidden/>
          </w:rPr>
        </w:r>
        <w:r w:rsidR="002E32BA">
          <w:rPr>
            <w:webHidden/>
          </w:rPr>
          <w:fldChar w:fldCharType="separate"/>
        </w:r>
        <w:r w:rsidR="00225A35">
          <w:rPr>
            <w:webHidden/>
          </w:rPr>
          <w:t>68</w:t>
        </w:r>
        <w:r w:rsidR="002E32BA">
          <w:rPr>
            <w:webHidden/>
          </w:rPr>
          <w:fldChar w:fldCharType="end"/>
        </w:r>
      </w:hyperlink>
    </w:p>
    <w:p w14:paraId="1E095A51" w14:textId="7706D460" w:rsidR="002E32BA" w:rsidRDefault="009B17F9">
      <w:pPr>
        <w:pStyle w:val="TOC3"/>
        <w:rPr>
          <w:rFonts w:asciiTheme="minorHAnsi" w:eastAsiaTheme="minorEastAsia" w:hAnsiTheme="minorHAnsi" w:cstheme="minorBidi"/>
        </w:rPr>
      </w:pPr>
      <w:hyperlink w:anchor="_Toc524517137" w:history="1">
        <w:r w:rsidR="002E32BA" w:rsidRPr="00E077F6">
          <w:rPr>
            <w:rStyle w:val="Hyperlink"/>
          </w:rPr>
          <w:t>Scientific-assigned licences</w:t>
        </w:r>
        <w:r w:rsidR="002E32BA">
          <w:rPr>
            <w:webHidden/>
          </w:rPr>
          <w:tab/>
        </w:r>
        <w:r w:rsidR="002E32BA">
          <w:rPr>
            <w:webHidden/>
          </w:rPr>
          <w:fldChar w:fldCharType="begin"/>
        </w:r>
        <w:r w:rsidR="002E32BA">
          <w:rPr>
            <w:webHidden/>
          </w:rPr>
          <w:instrText xml:space="preserve"> PAGEREF _Toc524517137 \h </w:instrText>
        </w:r>
        <w:r w:rsidR="002E32BA">
          <w:rPr>
            <w:webHidden/>
          </w:rPr>
        </w:r>
        <w:r w:rsidR="002E32BA">
          <w:rPr>
            <w:webHidden/>
          </w:rPr>
          <w:fldChar w:fldCharType="separate"/>
        </w:r>
        <w:r w:rsidR="00225A35">
          <w:rPr>
            <w:webHidden/>
          </w:rPr>
          <w:t>68</w:t>
        </w:r>
        <w:r w:rsidR="002E32BA">
          <w:rPr>
            <w:webHidden/>
          </w:rPr>
          <w:fldChar w:fldCharType="end"/>
        </w:r>
      </w:hyperlink>
    </w:p>
    <w:p w14:paraId="67DA8AC6" w14:textId="300B16A3" w:rsidR="002E32BA" w:rsidRDefault="009B17F9">
      <w:pPr>
        <w:pStyle w:val="TOC3"/>
        <w:rPr>
          <w:rFonts w:asciiTheme="minorHAnsi" w:eastAsiaTheme="minorEastAsia" w:hAnsiTheme="minorHAnsi" w:cstheme="minorBidi"/>
        </w:rPr>
      </w:pPr>
      <w:hyperlink w:anchor="_Toc524517138" w:history="1">
        <w:r w:rsidR="002E32BA" w:rsidRPr="00E077F6">
          <w:rPr>
            <w:rStyle w:val="Hyperlink"/>
          </w:rPr>
          <w:t>Spectrum licence taxes</w:t>
        </w:r>
        <w:r w:rsidR="002E32BA">
          <w:rPr>
            <w:webHidden/>
          </w:rPr>
          <w:tab/>
        </w:r>
        <w:r w:rsidR="002E32BA">
          <w:rPr>
            <w:webHidden/>
          </w:rPr>
          <w:fldChar w:fldCharType="begin"/>
        </w:r>
        <w:r w:rsidR="002E32BA">
          <w:rPr>
            <w:webHidden/>
          </w:rPr>
          <w:instrText xml:space="preserve"> PAGEREF _Toc524517138 \h </w:instrText>
        </w:r>
        <w:r w:rsidR="002E32BA">
          <w:rPr>
            <w:webHidden/>
          </w:rPr>
        </w:r>
        <w:r w:rsidR="002E32BA">
          <w:rPr>
            <w:webHidden/>
          </w:rPr>
          <w:fldChar w:fldCharType="separate"/>
        </w:r>
        <w:r w:rsidR="00225A35">
          <w:rPr>
            <w:webHidden/>
          </w:rPr>
          <w:t>68</w:t>
        </w:r>
        <w:r w:rsidR="002E32BA">
          <w:rPr>
            <w:webHidden/>
          </w:rPr>
          <w:fldChar w:fldCharType="end"/>
        </w:r>
      </w:hyperlink>
    </w:p>
    <w:p w14:paraId="460AB45B" w14:textId="4FB1B74E" w:rsidR="002E32BA" w:rsidRDefault="009B17F9">
      <w:pPr>
        <w:pStyle w:val="TOC3"/>
        <w:rPr>
          <w:rFonts w:asciiTheme="minorHAnsi" w:eastAsiaTheme="minorEastAsia" w:hAnsiTheme="minorHAnsi" w:cstheme="minorBidi"/>
        </w:rPr>
      </w:pPr>
      <w:hyperlink w:anchor="_Toc524517139" w:history="1">
        <w:r w:rsidR="002E32BA" w:rsidRPr="00E077F6">
          <w:rPr>
            <w:rStyle w:val="Hyperlink"/>
          </w:rPr>
          <w:t>Apparatus licence taxes</w:t>
        </w:r>
        <w:r w:rsidR="002E32BA">
          <w:rPr>
            <w:webHidden/>
          </w:rPr>
          <w:tab/>
        </w:r>
        <w:r w:rsidR="002E32BA">
          <w:rPr>
            <w:webHidden/>
          </w:rPr>
          <w:fldChar w:fldCharType="begin"/>
        </w:r>
        <w:r w:rsidR="002E32BA">
          <w:rPr>
            <w:webHidden/>
          </w:rPr>
          <w:instrText xml:space="preserve"> PAGEREF _Toc524517139 \h </w:instrText>
        </w:r>
        <w:r w:rsidR="002E32BA">
          <w:rPr>
            <w:webHidden/>
          </w:rPr>
        </w:r>
        <w:r w:rsidR="002E32BA">
          <w:rPr>
            <w:webHidden/>
          </w:rPr>
          <w:fldChar w:fldCharType="separate"/>
        </w:r>
        <w:r w:rsidR="00225A35">
          <w:rPr>
            <w:webHidden/>
          </w:rPr>
          <w:t>68</w:t>
        </w:r>
        <w:r w:rsidR="002E32BA">
          <w:rPr>
            <w:webHidden/>
          </w:rPr>
          <w:fldChar w:fldCharType="end"/>
        </w:r>
      </w:hyperlink>
    </w:p>
    <w:p w14:paraId="23B5EC83" w14:textId="665CC9AF" w:rsidR="002E32BA" w:rsidRDefault="009B17F9">
      <w:pPr>
        <w:pStyle w:val="TOC3"/>
        <w:rPr>
          <w:rFonts w:asciiTheme="minorHAnsi" w:eastAsiaTheme="minorEastAsia" w:hAnsiTheme="minorHAnsi" w:cstheme="minorBidi"/>
        </w:rPr>
      </w:pPr>
      <w:hyperlink w:anchor="_Toc524517140" w:history="1">
        <w:r w:rsidR="002E32BA" w:rsidRPr="00E077F6">
          <w:rPr>
            <w:rStyle w:val="Hyperlink"/>
          </w:rPr>
          <w:t>400 MHz monitoring framework and opportunity-cost pricing</w:t>
        </w:r>
        <w:r w:rsidR="002E32BA">
          <w:rPr>
            <w:webHidden/>
          </w:rPr>
          <w:tab/>
        </w:r>
        <w:r w:rsidR="002E32BA">
          <w:rPr>
            <w:webHidden/>
          </w:rPr>
          <w:fldChar w:fldCharType="begin"/>
        </w:r>
        <w:r w:rsidR="002E32BA">
          <w:rPr>
            <w:webHidden/>
          </w:rPr>
          <w:instrText xml:space="preserve"> PAGEREF _Toc524517140 \h </w:instrText>
        </w:r>
        <w:r w:rsidR="002E32BA">
          <w:rPr>
            <w:webHidden/>
          </w:rPr>
        </w:r>
        <w:r w:rsidR="002E32BA">
          <w:rPr>
            <w:webHidden/>
          </w:rPr>
          <w:fldChar w:fldCharType="separate"/>
        </w:r>
        <w:r w:rsidR="00225A35">
          <w:rPr>
            <w:webHidden/>
          </w:rPr>
          <w:t>68</w:t>
        </w:r>
        <w:r w:rsidR="002E32BA">
          <w:rPr>
            <w:webHidden/>
          </w:rPr>
          <w:fldChar w:fldCharType="end"/>
        </w:r>
      </w:hyperlink>
    </w:p>
    <w:p w14:paraId="153F352F" w14:textId="1C735FC4" w:rsidR="002E32BA" w:rsidRDefault="009B17F9">
      <w:pPr>
        <w:pStyle w:val="TOC2"/>
        <w:rPr>
          <w:rFonts w:asciiTheme="minorHAnsi" w:eastAsiaTheme="minorEastAsia" w:hAnsiTheme="minorHAnsi" w:cstheme="minorBidi"/>
          <w:spacing w:val="0"/>
          <w:sz w:val="22"/>
          <w:szCs w:val="22"/>
        </w:rPr>
      </w:pPr>
      <w:hyperlink w:anchor="_Toc524517141" w:history="1">
        <w:r w:rsidR="002E32BA" w:rsidRPr="00E077F6">
          <w:rPr>
            <w:rStyle w:val="Hyperlink"/>
          </w:rPr>
          <w:t>New/ongoing activities planned for 2018–19</w:t>
        </w:r>
        <w:r w:rsidR="002E32BA">
          <w:rPr>
            <w:webHidden/>
          </w:rPr>
          <w:tab/>
        </w:r>
        <w:r w:rsidR="002E32BA">
          <w:rPr>
            <w:webHidden/>
          </w:rPr>
          <w:fldChar w:fldCharType="begin"/>
        </w:r>
        <w:r w:rsidR="002E32BA">
          <w:rPr>
            <w:webHidden/>
          </w:rPr>
          <w:instrText xml:space="preserve"> PAGEREF _Toc524517141 \h </w:instrText>
        </w:r>
        <w:r w:rsidR="002E32BA">
          <w:rPr>
            <w:webHidden/>
          </w:rPr>
        </w:r>
        <w:r w:rsidR="002E32BA">
          <w:rPr>
            <w:webHidden/>
          </w:rPr>
          <w:fldChar w:fldCharType="separate"/>
        </w:r>
        <w:r w:rsidR="00225A35">
          <w:rPr>
            <w:webHidden/>
          </w:rPr>
          <w:t>68</w:t>
        </w:r>
        <w:r w:rsidR="002E32BA">
          <w:rPr>
            <w:webHidden/>
          </w:rPr>
          <w:fldChar w:fldCharType="end"/>
        </w:r>
      </w:hyperlink>
    </w:p>
    <w:p w14:paraId="34E80C83" w14:textId="20B69923" w:rsidR="002E32BA" w:rsidRDefault="009B17F9">
      <w:pPr>
        <w:pStyle w:val="TOC1"/>
        <w:rPr>
          <w:rFonts w:asciiTheme="minorHAnsi" w:eastAsiaTheme="minorEastAsia" w:hAnsiTheme="minorHAnsi" w:cstheme="minorBidi"/>
          <w:b w:val="0"/>
          <w:spacing w:val="0"/>
          <w:sz w:val="22"/>
          <w:szCs w:val="22"/>
        </w:rPr>
      </w:pPr>
      <w:hyperlink w:anchor="_Toc524517142" w:history="1">
        <w:r w:rsidR="002E32BA" w:rsidRPr="00E077F6">
          <w:rPr>
            <w:rStyle w:val="Hyperlink"/>
          </w:rPr>
          <w:t>Compliance and enforcement</w:t>
        </w:r>
        <w:r w:rsidR="002E32BA">
          <w:rPr>
            <w:webHidden/>
          </w:rPr>
          <w:tab/>
        </w:r>
        <w:r w:rsidR="002E32BA">
          <w:rPr>
            <w:webHidden/>
          </w:rPr>
          <w:fldChar w:fldCharType="begin"/>
        </w:r>
        <w:r w:rsidR="002E32BA">
          <w:rPr>
            <w:webHidden/>
          </w:rPr>
          <w:instrText xml:space="preserve"> PAGEREF _Toc524517142 \h </w:instrText>
        </w:r>
        <w:r w:rsidR="002E32BA">
          <w:rPr>
            <w:webHidden/>
          </w:rPr>
        </w:r>
        <w:r w:rsidR="002E32BA">
          <w:rPr>
            <w:webHidden/>
          </w:rPr>
          <w:fldChar w:fldCharType="separate"/>
        </w:r>
        <w:r w:rsidR="00225A35">
          <w:rPr>
            <w:webHidden/>
          </w:rPr>
          <w:t>70</w:t>
        </w:r>
        <w:r w:rsidR="002E32BA">
          <w:rPr>
            <w:webHidden/>
          </w:rPr>
          <w:fldChar w:fldCharType="end"/>
        </w:r>
      </w:hyperlink>
    </w:p>
    <w:p w14:paraId="4534DF85" w14:textId="448F7E28" w:rsidR="002E32BA" w:rsidRDefault="009B17F9">
      <w:pPr>
        <w:pStyle w:val="TOC2"/>
        <w:rPr>
          <w:rFonts w:asciiTheme="minorHAnsi" w:eastAsiaTheme="minorEastAsia" w:hAnsiTheme="minorHAnsi" w:cstheme="minorBidi"/>
          <w:spacing w:val="0"/>
          <w:sz w:val="22"/>
          <w:szCs w:val="22"/>
        </w:rPr>
      </w:pPr>
      <w:hyperlink w:anchor="_Toc524517143" w:history="1">
        <w:r w:rsidR="002E32BA" w:rsidRPr="00E077F6">
          <w:rPr>
            <w:rStyle w:val="Hyperlink"/>
          </w:rPr>
          <w:t>Priority compliance areas</w:t>
        </w:r>
        <w:r w:rsidR="002E32BA">
          <w:rPr>
            <w:webHidden/>
          </w:rPr>
          <w:tab/>
        </w:r>
        <w:r w:rsidR="002E32BA">
          <w:rPr>
            <w:webHidden/>
          </w:rPr>
          <w:fldChar w:fldCharType="begin"/>
        </w:r>
        <w:r w:rsidR="002E32BA">
          <w:rPr>
            <w:webHidden/>
          </w:rPr>
          <w:instrText xml:space="preserve"> PAGEREF _Toc524517143 \h </w:instrText>
        </w:r>
        <w:r w:rsidR="002E32BA">
          <w:rPr>
            <w:webHidden/>
          </w:rPr>
        </w:r>
        <w:r w:rsidR="002E32BA">
          <w:rPr>
            <w:webHidden/>
          </w:rPr>
          <w:fldChar w:fldCharType="separate"/>
        </w:r>
        <w:r w:rsidR="00225A35">
          <w:rPr>
            <w:webHidden/>
          </w:rPr>
          <w:t>70</w:t>
        </w:r>
        <w:r w:rsidR="002E32BA">
          <w:rPr>
            <w:webHidden/>
          </w:rPr>
          <w:fldChar w:fldCharType="end"/>
        </w:r>
      </w:hyperlink>
    </w:p>
    <w:p w14:paraId="186FDAAB" w14:textId="02F5BCB9" w:rsidR="002E32BA" w:rsidRDefault="009B17F9">
      <w:pPr>
        <w:pStyle w:val="TOC2"/>
        <w:rPr>
          <w:rFonts w:asciiTheme="minorHAnsi" w:eastAsiaTheme="minorEastAsia" w:hAnsiTheme="minorHAnsi" w:cstheme="minorBidi"/>
          <w:spacing w:val="0"/>
          <w:sz w:val="22"/>
          <w:szCs w:val="22"/>
        </w:rPr>
      </w:pPr>
      <w:hyperlink w:anchor="_Toc524517144"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_Toc524517144 \h </w:instrText>
        </w:r>
        <w:r w:rsidR="002E32BA">
          <w:rPr>
            <w:webHidden/>
          </w:rPr>
        </w:r>
        <w:r w:rsidR="002E32BA">
          <w:rPr>
            <w:webHidden/>
          </w:rPr>
          <w:fldChar w:fldCharType="separate"/>
        </w:r>
        <w:r w:rsidR="00225A35">
          <w:rPr>
            <w:webHidden/>
          </w:rPr>
          <w:t>70</w:t>
        </w:r>
        <w:r w:rsidR="002E32BA">
          <w:rPr>
            <w:webHidden/>
          </w:rPr>
          <w:fldChar w:fldCharType="end"/>
        </w:r>
      </w:hyperlink>
    </w:p>
    <w:p w14:paraId="1624946F" w14:textId="7C0DDE12" w:rsidR="002E32BA" w:rsidRDefault="009B17F9">
      <w:pPr>
        <w:pStyle w:val="TOC3"/>
        <w:rPr>
          <w:rFonts w:asciiTheme="minorHAnsi" w:eastAsiaTheme="minorEastAsia" w:hAnsiTheme="minorHAnsi" w:cstheme="minorBidi"/>
        </w:rPr>
      </w:pPr>
      <w:hyperlink w:anchor="_Toc524517145" w:history="1">
        <w:r w:rsidR="002E32BA" w:rsidRPr="00E077F6">
          <w:rPr>
            <w:rStyle w:val="Hyperlink"/>
          </w:rPr>
          <w:t>Gold Coast 2018 Commonwealth Games preparation—</w:t>
        </w:r>
        <w:r w:rsidR="002E32BA">
          <w:rPr>
            <w:rStyle w:val="Hyperlink"/>
          </w:rPr>
          <w:br/>
        </w:r>
        <w:r w:rsidR="002E32BA" w:rsidRPr="00E077F6">
          <w:rPr>
            <w:rStyle w:val="Hyperlink"/>
          </w:rPr>
          <w:t>compliance program</w:t>
        </w:r>
        <w:r w:rsidR="002E32BA">
          <w:rPr>
            <w:webHidden/>
          </w:rPr>
          <w:tab/>
        </w:r>
        <w:r w:rsidR="002E32BA">
          <w:rPr>
            <w:webHidden/>
          </w:rPr>
          <w:fldChar w:fldCharType="begin"/>
        </w:r>
        <w:r w:rsidR="002E32BA">
          <w:rPr>
            <w:webHidden/>
          </w:rPr>
          <w:instrText xml:space="preserve"> PAGEREF _Toc524517145 \h </w:instrText>
        </w:r>
        <w:r w:rsidR="002E32BA">
          <w:rPr>
            <w:webHidden/>
          </w:rPr>
        </w:r>
        <w:r w:rsidR="002E32BA">
          <w:rPr>
            <w:webHidden/>
          </w:rPr>
          <w:fldChar w:fldCharType="separate"/>
        </w:r>
        <w:r w:rsidR="00225A35">
          <w:rPr>
            <w:webHidden/>
          </w:rPr>
          <w:t>70</w:t>
        </w:r>
        <w:r w:rsidR="002E32BA">
          <w:rPr>
            <w:webHidden/>
          </w:rPr>
          <w:fldChar w:fldCharType="end"/>
        </w:r>
      </w:hyperlink>
    </w:p>
    <w:p w14:paraId="145F36A6" w14:textId="0BBE8F6E" w:rsidR="002E32BA" w:rsidRDefault="009B17F9">
      <w:pPr>
        <w:pStyle w:val="TOC3"/>
        <w:rPr>
          <w:rFonts w:asciiTheme="minorHAnsi" w:eastAsiaTheme="minorEastAsia" w:hAnsiTheme="minorHAnsi" w:cstheme="minorBidi"/>
        </w:rPr>
      </w:pPr>
      <w:hyperlink w:anchor="_Toc524517146" w:history="1">
        <w:r w:rsidR="002E32BA" w:rsidRPr="00E077F6">
          <w:rPr>
            <w:rStyle w:val="Hyperlink"/>
          </w:rPr>
          <w:t>Audit of mobile handset compliance—technical standards audit program</w:t>
        </w:r>
        <w:r w:rsidR="002E32BA">
          <w:rPr>
            <w:webHidden/>
          </w:rPr>
          <w:tab/>
        </w:r>
        <w:r w:rsidR="002E32BA">
          <w:rPr>
            <w:webHidden/>
          </w:rPr>
          <w:fldChar w:fldCharType="begin"/>
        </w:r>
        <w:r w:rsidR="002E32BA">
          <w:rPr>
            <w:webHidden/>
          </w:rPr>
          <w:instrText xml:space="preserve"> PAGEREF _Toc524517146 \h </w:instrText>
        </w:r>
        <w:r w:rsidR="002E32BA">
          <w:rPr>
            <w:webHidden/>
          </w:rPr>
        </w:r>
        <w:r w:rsidR="002E32BA">
          <w:rPr>
            <w:webHidden/>
          </w:rPr>
          <w:fldChar w:fldCharType="separate"/>
        </w:r>
        <w:r w:rsidR="00225A35">
          <w:rPr>
            <w:webHidden/>
          </w:rPr>
          <w:t>70</w:t>
        </w:r>
        <w:r w:rsidR="002E32BA">
          <w:rPr>
            <w:webHidden/>
          </w:rPr>
          <w:fldChar w:fldCharType="end"/>
        </w:r>
      </w:hyperlink>
    </w:p>
    <w:p w14:paraId="23C04D5B" w14:textId="62C91585" w:rsidR="002E32BA" w:rsidRDefault="009B17F9">
      <w:pPr>
        <w:pStyle w:val="TOC2"/>
        <w:rPr>
          <w:rFonts w:asciiTheme="minorHAnsi" w:eastAsiaTheme="minorEastAsia" w:hAnsiTheme="minorHAnsi" w:cstheme="minorBidi"/>
          <w:spacing w:val="0"/>
          <w:sz w:val="22"/>
          <w:szCs w:val="22"/>
        </w:rPr>
      </w:pPr>
      <w:hyperlink w:anchor="_Toc524517147" w:history="1">
        <w:r w:rsidR="002E32BA" w:rsidRPr="00E077F6">
          <w:rPr>
            <w:rStyle w:val="Hyperlink"/>
          </w:rPr>
          <w:t>New/ongoing activities planned for 2018–19</w:t>
        </w:r>
        <w:r w:rsidR="002E32BA">
          <w:rPr>
            <w:webHidden/>
          </w:rPr>
          <w:tab/>
        </w:r>
        <w:r w:rsidR="002E32BA">
          <w:rPr>
            <w:webHidden/>
          </w:rPr>
          <w:fldChar w:fldCharType="begin"/>
        </w:r>
        <w:r w:rsidR="002E32BA">
          <w:rPr>
            <w:webHidden/>
          </w:rPr>
          <w:instrText xml:space="preserve"> PAGEREF _Toc524517147 \h </w:instrText>
        </w:r>
        <w:r w:rsidR="002E32BA">
          <w:rPr>
            <w:webHidden/>
          </w:rPr>
        </w:r>
        <w:r w:rsidR="002E32BA">
          <w:rPr>
            <w:webHidden/>
          </w:rPr>
          <w:fldChar w:fldCharType="separate"/>
        </w:r>
        <w:r w:rsidR="00225A35">
          <w:rPr>
            <w:webHidden/>
          </w:rPr>
          <w:t>71</w:t>
        </w:r>
        <w:r w:rsidR="002E32BA">
          <w:rPr>
            <w:webHidden/>
          </w:rPr>
          <w:fldChar w:fldCharType="end"/>
        </w:r>
      </w:hyperlink>
    </w:p>
    <w:p w14:paraId="236467BD" w14:textId="088B95F7" w:rsidR="002E32BA" w:rsidRDefault="009B17F9">
      <w:pPr>
        <w:pStyle w:val="TOC3"/>
        <w:rPr>
          <w:rFonts w:asciiTheme="minorHAnsi" w:eastAsiaTheme="minorEastAsia" w:hAnsiTheme="minorHAnsi" w:cstheme="minorBidi"/>
        </w:rPr>
      </w:pPr>
      <w:hyperlink w:anchor="_Toc524517148" w:history="1">
        <w:r w:rsidR="002E32BA" w:rsidRPr="00E077F6">
          <w:rPr>
            <w:rStyle w:val="Hyperlink"/>
          </w:rPr>
          <w:t>Audit of mobile handset compliance—technical standards audit program</w:t>
        </w:r>
        <w:r w:rsidR="002E32BA">
          <w:rPr>
            <w:webHidden/>
          </w:rPr>
          <w:tab/>
        </w:r>
        <w:r w:rsidR="002E32BA">
          <w:rPr>
            <w:webHidden/>
          </w:rPr>
          <w:fldChar w:fldCharType="begin"/>
        </w:r>
        <w:r w:rsidR="002E32BA">
          <w:rPr>
            <w:webHidden/>
          </w:rPr>
          <w:instrText xml:space="preserve"> PAGEREF _Toc524517148 \h </w:instrText>
        </w:r>
        <w:r w:rsidR="002E32BA">
          <w:rPr>
            <w:webHidden/>
          </w:rPr>
        </w:r>
        <w:r w:rsidR="002E32BA">
          <w:rPr>
            <w:webHidden/>
          </w:rPr>
          <w:fldChar w:fldCharType="separate"/>
        </w:r>
        <w:r w:rsidR="00225A35">
          <w:rPr>
            <w:webHidden/>
          </w:rPr>
          <w:t>71</w:t>
        </w:r>
        <w:r w:rsidR="002E32BA">
          <w:rPr>
            <w:webHidden/>
          </w:rPr>
          <w:fldChar w:fldCharType="end"/>
        </w:r>
      </w:hyperlink>
    </w:p>
    <w:p w14:paraId="5DEC82AB" w14:textId="4D8ABC89" w:rsidR="002E32BA" w:rsidRDefault="009B17F9">
      <w:pPr>
        <w:pStyle w:val="TOC3"/>
        <w:rPr>
          <w:rFonts w:asciiTheme="minorHAnsi" w:eastAsiaTheme="minorEastAsia" w:hAnsiTheme="minorHAnsi" w:cstheme="minorBidi"/>
        </w:rPr>
      </w:pPr>
      <w:hyperlink w:anchor="_Toc524517149" w:history="1">
        <w:r w:rsidR="002E32BA" w:rsidRPr="00E077F6">
          <w:rPr>
            <w:rStyle w:val="Hyperlink"/>
          </w:rPr>
          <w:t>PCAs</w:t>
        </w:r>
        <w:r w:rsidR="002E32BA">
          <w:rPr>
            <w:webHidden/>
          </w:rPr>
          <w:tab/>
        </w:r>
        <w:r w:rsidR="002E32BA">
          <w:rPr>
            <w:webHidden/>
          </w:rPr>
          <w:fldChar w:fldCharType="begin"/>
        </w:r>
        <w:r w:rsidR="002E32BA">
          <w:rPr>
            <w:webHidden/>
          </w:rPr>
          <w:instrText xml:space="preserve"> PAGEREF _Toc524517149 \h </w:instrText>
        </w:r>
        <w:r w:rsidR="002E32BA">
          <w:rPr>
            <w:webHidden/>
          </w:rPr>
        </w:r>
        <w:r w:rsidR="002E32BA">
          <w:rPr>
            <w:webHidden/>
          </w:rPr>
          <w:fldChar w:fldCharType="separate"/>
        </w:r>
        <w:r w:rsidR="00225A35">
          <w:rPr>
            <w:webHidden/>
          </w:rPr>
          <w:t>71</w:t>
        </w:r>
        <w:r w:rsidR="002E32BA">
          <w:rPr>
            <w:webHidden/>
          </w:rPr>
          <w:fldChar w:fldCharType="end"/>
        </w:r>
      </w:hyperlink>
    </w:p>
    <w:p w14:paraId="555DBF20" w14:textId="7BEE5C27" w:rsidR="002E32BA" w:rsidRDefault="009B17F9">
      <w:pPr>
        <w:pStyle w:val="TOC1"/>
        <w:rPr>
          <w:rFonts w:asciiTheme="minorHAnsi" w:eastAsiaTheme="minorEastAsia" w:hAnsiTheme="minorHAnsi" w:cstheme="minorBidi"/>
          <w:b w:val="0"/>
          <w:spacing w:val="0"/>
          <w:sz w:val="22"/>
          <w:szCs w:val="22"/>
        </w:rPr>
      </w:pPr>
      <w:hyperlink w:anchor="_Toc524517150" w:history="1">
        <w:r w:rsidR="002E32BA" w:rsidRPr="00E077F6">
          <w:rPr>
            <w:rStyle w:val="Hyperlink"/>
          </w:rPr>
          <w:t>International engagement</w:t>
        </w:r>
        <w:r w:rsidR="002E32BA">
          <w:rPr>
            <w:webHidden/>
          </w:rPr>
          <w:tab/>
        </w:r>
        <w:r w:rsidR="002E32BA">
          <w:rPr>
            <w:webHidden/>
          </w:rPr>
          <w:fldChar w:fldCharType="begin"/>
        </w:r>
        <w:r w:rsidR="002E32BA">
          <w:rPr>
            <w:webHidden/>
          </w:rPr>
          <w:instrText xml:space="preserve"> PAGEREF _Toc524517150 \h </w:instrText>
        </w:r>
        <w:r w:rsidR="002E32BA">
          <w:rPr>
            <w:webHidden/>
          </w:rPr>
        </w:r>
        <w:r w:rsidR="002E32BA">
          <w:rPr>
            <w:webHidden/>
          </w:rPr>
          <w:fldChar w:fldCharType="separate"/>
        </w:r>
        <w:r w:rsidR="00225A35">
          <w:rPr>
            <w:webHidden/>
          </w:rPr>
          <w:t>72</w:t>
        </w:r>
        <w:r w:rsidR="002E32BA">
          <w:rPr>
            <w:webHidden/>
          </w:rPr>
          <w:fldChar w:fldCharType="end"/>
        </w:r>
      </w:hyperlink>
    </w:p>
    <w:p w14:paraId="087A02C6" w14:textId="28D0C55D" w:rsidR="002E32BA" w:rsidRDefault="009B17F9">
      <w:pPr>
        <w:pStyle w:val="TOC2"/>
        <w:rPr>
          <w:rFonts w:asciiTheme="minorHAnsi" w:eastAsiaTheme="minorEastAsia" w:hAnsiTheme="minorHAnsi" w:cstheme="minorBidi"/>
          <w:spacing w:val="0"/>
          <w:sz w:val="22"/>
          <w:szCs w:val="22"/>
        </w:rPr>
      </w:pPr>
      <w:hyperlink w:anchor="_Toc524517151" w:history="1">
        <w:r w:rsidR="002E32BA" w:rsidRPr="00E077F6">
          <w:rPr>
            <w:rStyle w:val="Hyperlink"/>
          </w:rPr>
          <w:t>Progress achieved</w:t>
        </w:r>
        <w:r w:rsidR="002E32BA">
          <w:rPr>
            <w:webHidden/>
          </w:rPr>
          <w:tab/>
        </w:r>
        <w:r w:rsidR="002E32BA">
          <w:rPr>
            <w:webHidden/>
          </w:rPr>
          <w:fldChar w:fldCharType="begin"/>
        </w:r>
        <w:r w:rsidR="002E32BA">
          <w:rPr>
            <w:webHidden/>
          </w:rPr>
          <w:instrText xml:space="preserve"> PAGEREF _Toc524517151 \h </w:instrText>
        </w:r>
        <w:r w:rsidR="002E32BA">
          <w:rPr>
            <w:webHidden/>
          </w:rPr>
        </w:r>
        <w:r w:rsidR="002E32BA">
          <w:rPr>
            <w:webHidden/>
          </w:rPr>
          <w:fldChar w:fldCharType="separate"/>
        </w:r>
        <w:r w:rsidR="00225A35">
          <w:rPr>
            <w:webHidden/>
          </w:rPr>
          <w:t>72</w:t>
        </w:r>
        <w:r w:rsidR="002E32BA">
          <w:rPr>
            <w:webHidden/>
          </w:rPr>
          <w:fldChar w:fldCharType="end"/>
        </w:r>
      </w:hyperlink>
    </w:p>
    <w:p w14:paraId="4BC918BB" w14:textId="149EC57C" w:rsidR="002E32BA" w:rsidRDefault="009B17F9">
      <w:pPr>
        <w:pStyle w:val="TOC2"/>
        <w:rPr>
          <w:rFonts w:asciiTheme="minorHAnsi" w:eastAsiaTheme="minorEastAsia" w:hAnsiTheme="minorHAnsi" w:cstheme="minorBidi"/>
          <w:spacing w:val="0"/>
          <w:sz w:val="22"/>
          <w:szCs w:val="22"/>
        </w:rPr>
      </w:pPr>
      <w:hyperlink w:anchor="_Toc524517152" w:history="1">
        <w:r w:rsidR="002E32BA" w:rsidRPr="00E077F6">
          <w:rPr>
            <w:rStyle w:val="Hyperlink"/>
          </w:rPr>
          <w:t>New and ongoing activities planned for 2018–19</w:t>
        </w:r>
        <w:r w:rsidR="002E32BA">
          <w:rPr>
            <w:webHidden/>
          </w:rPr>
          <w:tab/>
        </w:r>
        <w:r w:rsidR="002E32BA">
          <w:rPr>
            <w:webHidden/>
          </w:rPr>
          <w:fldChar w:fldCharType="begin"/>
        </w:r>
        <w:r w:rsidR="002E32BA">
          <w:rPr>
            <w:webHidden/>
          </w:rPr>
          <w:instrText xml:space="preserve"> PAGEREF _Toc524517152 \h </w:instrText>
        </w:r>
        <w:r w:rsidR="002E32BA">
          <w:rPr>
            <w:webHidden/>
          </w:rPr>
        </w:r>
        <w:r w:rsidR="002E32BA">
          <w:rPr>
            <w:webHidden/>
          </w:rPr>
          <w:fldChar w:fldCharType="separate"/>
        </w:r>
        <w:r w:rsidR="00225A35">
          <w:rPr>
            <w:webHidden/>
          </w:rPr>
          <w:t>73</w:t>
        </w:r>
        <w:r w:rsidR="002E32BA">
          <w:rPr>
            <w:webHidden/>
          </w:rPr>
          <w:fldChar w:fldCharType="end"/>
        </w:r>
      </w:hyperlink>
    </w:p>
    <w:p w14:paraId="7CC69D9D" w14:textId="00C89302" w:rsidR="002E32BA" w:rsidRDefault="009B17F9">
      <w:pPr>
        <w:pStyle w:val="TOC1"/>
        <w:rPr>
          <w:rFonts w:asciiTheme="minorHAnsi" w:eastAsiaTheme="minorEastAsia" w:hAnsiTheme="minorHAnsi" w:cstheme="minorBidi"/>
          <w:b w:val="0"/>
          <w:spacing w:val="0"/>
          <w:sz w:val="22"/>
          <w:szCs w:val="22"/>
        </w:rPr>
      </w:pPr>
      <w:hyperlink w:anchor="_Toc524517153" w:history="1">
        <w:r w:rsidR="002E32BA" w:rsidRPr="00E077F6">
          <w:rPr>
            <w:rStyle w:val="Hyperlink"/>
          </w:rPr>
          <w:t>Appendix A—Sunsetting instruments</w:t>
        </w:r>
        <w:r w:rsidR="002E32BA">
          <w:rPr>
            <w:webHidden/>
          </w:rPr>
          <w:tab/>
        </w:r>
        <w:r w:rsidR="002E32BA">
          <w:rPr>
            <w:webHidden/>
          </w:rPr>
          <w:fldChar w:fldCharType="begin"/>
        </w:r>
        <w:r w:rsidR="002E32BA">
          <w:rPr>
            <w:webHidden/>
          </w:rPr>
          <w:instrText xml:space="preserve"> PAGEREF _Toc524517153 \h </w:instrText>
        </w:r>
        <w:r w:rsidR="002E32BA">
          <w:rPr>
            <w:webHidden/>
          </w:rPr>
        </w:r>
        <w:r w:rsidR="002E32BA">
          <w:rPr>
            <w:webHidden/>
          </w:rPr>
          <w:fldChar w:fldCharType="separate"/>
        </w:r>
        <w:r w:rsidR="00225A35">
          <w:rPr>
            <w:webHidden/>
          </w:rPr>
          <w:t>74</w:t>
        </w:r>
        <w:r w:rsidR="002E32BA">
          <w:rPr>
            <w:webHidden/>
          </w:rPr>
          <w:fldChar w:fldCharType="end"/>
        </w:r>
      </w:hyperlink>
    </w:p>
    <w:p w14:paraId="6A998E83" w14:textId="38C7EA7B" w:rsidR="002E32BA" w:rsidRDefault="009B17F9">
      <w:pPr>
        <w:pStyle w:val="TOC2"/>
        <w:rPr>
          <w:rFonts w:asciiTheme="minorHAnsi" w:eastAsiaTheme="minorEastAsia" w:hAnsiTheme="minorHAnsi" w:cstheme="minorBidi"/>
          <w:spacing w:val="0"/>
          <w:sz w:val="22"/>
          <w:szCs w:val="22"/>
        </w:rPr>
      </w:pPr>
      <w:hyperlink w:anchor="_Toc524517154" w:history="1">
        <w:r w:rsidR="002E32BA" w:rsidRPr="00E077F6">
          <w:rPr>
            <w:rStyle w:val="Hyperlink"/>
          </w:rPr>
          <w:t>Instruments previously due to sunset on 1 October 2018</w:t>
        </w:r>
        <w:r w:rsidR="002E32BA">
          <w:rPr>
            <w:webHidden/>
          </w:rPr>
          <w:tab/>
        </w:r>
        <w:r w:rsidR="002E32BA">
          <w:rPr>
            <w:webHidden/>
          </w:rPr>
          <w:fldChar w:fldCharType="begin"/>
        </w:r>
        <w:r w:rsidR="002E32BA">
          <w:rPr>
            <w:webHidden/>
          </w:rPr>
          <w:instrText xml:space="preserve"> PAGEREF _Toc524517154 \h </w:instrText>
        </w:r>
        <w:r w:rsidR="002E32BA">
          <w:rPr>
            <w:webHidden/>
          </w:rPr>
        </w:r>
        <w:r w:rsidR="002E32BA">
          <w:rPr>
            <w:webHidden/>
          </w:rPr>
          <w:fldChar w:fldCharType="separate"/>
        </w:r>
        <w:r w:rsidR="00225A35">
          <w:rPr>
            <w:webHidden/>
          </w:rPr>
          <w:t>74</w:t>
        </w:r>
        <w:r w:rsidR="002E32BA">
          <w:rPr>
            <w:webHidden/>
          </w:rPr>
          <w:fldChar w:fldCharType="end"/>
        </w:r>
      </w:hyperlink>
    </w:p>
    <w:p w14:paraId="1FFD28CF" w14:textId="5E94850E" w:rsidR="002E32BA" w:rsidRDefault="009B17F9">
      <w:pPr>
        <w:pStyle w:val="TOC2"/>
        <w:rPr>
          <w:rFonts w:asciiTheme="minorHAnsi" w:eastAsiaTheme="minorEastAsia" w:hAnsiTheme="minorHAnsi" w:cstheme="minorBidi"/>
          <w:spacing w:val="0"/>
          <w:sz w:val="22"/>
          <w:szCs w:val="22"/>
        </w:rPr>
      </w:pPr>
      <w:hyperlink w:anchor="_Toc524517155" w:history="1">
        <w:r w:rsidR="002E32BA" w:rsidRPr="00E077F6">
          <w:rPr>
            <w:rStyle w:val="Hyperlink"/>
          </w:rPr>
          <w:t>Thematic review of sunsetting instruments</w:t>
        </w:r>
        <w:r w:rsidR="002E32BA">
          <w:rPr>
            <w:webHidden/>
          </w:rPr>
          <w:tab/>
        </w:r>
        <w:r w:rsidR="002E32BA">
          <w:rPr>
            <w:webHidden/>
          </w:rPr>
          <w:fldChar w:fldCharType="begin"/>
        </w:r>
        <w:r w:rsidR="002E32BA">
          <w:rPr>
            <w:webHidden/>
          </w:rPr>
          <w:instrText xml:space="preserve"> PAGEREF _Toc524517155 \h </w:instrText>
        </w:r>
        <w:r w:rsidR="002E32BA">
          <w:rPr>
            <w:webHidden/>
          </w:rPr>
        </w:r>
        <w:r w:rsidR="002E32BA">
          <w:rPr>
            <w:webHidden/>
          </w:rPr>
          <w:fldChar w:fldCharType="separate"/>
        </w:r>
        <w:r w:rsidR="00225A35">
          <w:rPr>
            <w:webHidden/>
          </w:rPr>
          <w:t>74</w:t>
        </w:r>
        <w:r w:rsidR="002E32BA">
          <w:rPr>
            <w:webHidden/>
          </w:rPr>
          <w:fldChar w:fldCharType="end"/>
        </w:r>
      </w:hyperlink>
    </w:p>
    <w:p w14:paraId="41EC3D49" w14:textId="33874DDE" w:rsidR="005A6EAB" w:rsidRDefault="002E32BA">
      <w:pPr>
        <w:rPr>
          <w:rFonts w:cs="Arial"/>
          <w:noProof/>
          <w:spacing w:val="-14"/>
          <w:sz w:val="28"/>
          <w:szCs w:val="26"/>
        </w:rPr>
        <w:sectPr w:rsidR="005A6EAB" w:rsidSect="00760066">
          <w:headerReference w:type="even" r:id="rId20"/>
          <w:headerReference w:type="default" r:id="rId21"/>
          <w:footerReference w:type="even" r:id="rId22"/>
          <w:footerReference w:type="default" r:id="rId23"/>
          <w:footerReference w:type="first" r:id="rId24"/>
          <w:pgSz w:w="11906" w:h="16838" w:code="9"/>
          <w:pgMar w:top="3646" w:right="3101" w:bottom="1134" w:left="1134" w:header="709" w:footer="119" w:gutter="0"/>
          <w:cols w:space="708"/>
          <w:titlePg/>
          <w:docGrid w:linePitch="360"/>
        </w:sectPr>
      </w:pPr>
      <w:r>
        <w:rPr>
          <w:rFonts w:cs="Arial"/>
          <w:noProof/>
          <w:spacing w:val="-14"/>
          <w:sz w:val="26"/>
          <w:szCs w:val="26"/>
        </w:rPr>
        <w:fldChar w:fldCharType="end"/>
      </w:r>
    </w:p>
    <w:p w14:paraId="1EF7E32D" w14:textId="77777777" w:rsidR="009D6C71" w:rsidRPr="009174F3" w:rsidRDefault="00835321" w:rsidP="00CF1BE6">
      <w:pPr>
        <w:pStyle w:val="ACMAExecSummaryHeading"/>
      </w:pPr>
      <w:bookmarkStart w:id="1" w:name="_Toc509581790"/>
      <w:bookmarkStart w:id="2" w:name="_Toc509585106"/>
      <w:bookmarkStart w:id="3" w:name="_Toc509585642"/>
      <w:bookmarkStart w:id="4" w:name="_Toc510104922"/>
      <w:bookmarkStart w:id="5" w:name="_Toc510105719"/>
      <w:bookmarkStart w:id="6" w:name="_Toc510795062"/>
      <w:bookmarkStart w:id="7" w:name="_Toc511716263"/>
      <w:bookmarkStart w:id="8" w:name="_Toc511719074"/>
      <w:bookmarkStart w:id="9" w:name="_Toc522794069"/>
      <w:bookmarkStart w:id="10" w:name="_Toc524517075"/>
      <w:r>
        <w:lastRenderedPageBreak/>
        <w:t>Foreword</w:t>
      </w:r>
      <w:bookmarkEnd w:id="1"/>
      <w:bookmarkEnd w:id="2"/>
      <w:bookmarkEnd w:id="3"/>
      <w:bookmarkEnd w:id="4"/>
      <w:bookmarkEnd w:id="5"/>
      <w:bookmarkEnd w:id="6"/>
      <w:bookmarkEnd w:id="7"/>
      <w:bookmarkEnd w:id="8"/>
      <w:bookmarkEnd w:id="9"/>
      <w:bookmarkEnd w:id="10"/>
      <w:r w:rsidR="009D6C71" w:rsidRPr="009174F3">
        <w:t xml:space="preserve"> </w:t>
      </w:r>
    </w:p>
    <w:p w14:paraId="26D2FE08" w14:textId="6F2B8DF0" w:rsidR="003A06EE" w:rsidRDefault="00BD5B28" w:rsidP="00BD5B28">
      <w:r w:rsidRPr="00A30CFC">
        <w:t>Spectrum is a critical input to Australian communications and media industries</w:t>
      </w:r>
      <w:r w:rsidR="00A140B6">
        <w:t xml:space="preserve"> as more and more </w:t>
      </w:r>
      <w:r w:rsidRPr="00A30CFC">
        <w:t>services</w:t>
      </w:r>
      <w:r w:rsidR="005D78F5">
        <w:t xml:space="preserve"> and activities are rely</w:t>
      </w:r>
      <w:r w:rsidR="00A140B6">
        <w:t>ing</w:t>
      </w:r>
      <w:r w:rsidR="005D78F5">
        <w:t xml:space="preserve"> on wireless connectivity</w:t>
      </w:r>
      <w:r w:rsidRPr="00A30CFC">
        <w:t>.</w:t>
      </w:r>
      <w:r w:rsidR="000020A8">
        <w:t xml:space="preserve"> </w:t>
      </w:r>
      <w:r w:rsidR="007D26B6">
        <w:t xml:space="preserve">Managing spectrum efficiently and effectively for the benefit of all Australians is a key priority for </w:t>
      </w:r>
      <w:r w:rsidR="000020A8">
        <w:t>the Australian Communications and Media Authority (ACMA)</w:t>
      </w:r>
      <w:r w:rsidR="00365525">
        <w:t>.</w:t>
      </w:r>
      <w:r w:rsidR="000020A8">
        <w:rPr>
          <w:rStyle w:val="FootnoteReference"/>
        </w:rPr>
        <w:footnoteReference w:id="2"/>
      </w:r>
      <w:r w:rsidRPr="00A30CFC">
        <w:t xml:space="preserve"> </w:t>
      </w:r>
      <w:r w:rsidR="000020A8">
        <w:t xml:space="preserve">The </w:t>
      </w:r>
      <w:r w:rsidR="00B33B81">
        <w:t xml:space="preserve">ACMA needs </w:t>
      </w:r>
      <w:r w:rsidR="00AA1CF5">
        <w:t xml:space="preserve">an accurate </w:t>
      </w:r>
      <w:r w:rsidR="00B33B81">
        <w:t>u</w:t>
      </w:r>
      <w:r w:rsidR="0065583E">
        <w:t xml:space="preserve">nderstanding </w:t>
      </w:r>
      <w:r w:rsidR="00B33B81">
        <w:t xml:space="preserve">of </w:t>
      </w:r>
      <w:r w:rsidR="00AA1CF5">
        <w:t>c</w:t>
      </w:r>
      <w:r w:rsidR="006F2B02">
        <w:t xml:space="preserve">hanges </w:t>
      </w:r>
      <w:r w:rsidR="00B33B81">
        <w:t xml:space="preserve">in </w:t>
      </w:r>
      <w:r w:rsidR="0065583E">
        <w:t>technology and market demand</w:t>
      </w:r>
      <w:r w:rsidR="00AA1CF5">
        <w:t>, both for new and existing spectrum uses,</w:t>
      </w:r>
      <w:r w:rsidR="0065583E">
        <w:t xml:space="preserve"> </w:t>
      </w:r>
      <w:r w:rsidR="00B33B81">
        <w:t xml:space="preserve">to </w:t>
      </w:r>
      <w:r w:rsidR="0065583E">
        <w:t xml:space="preserve">inform the way </w:t>
      </w:r>
      <w:r w:rsidR="00A140B6">
        <w:t xml:space="preserve">we </w:t>
      </w:r>
      <w:r w:rsidR="00B33B81">
        <w:t>p</w:t>
      </w:r>
      <w:r w:rsidR="0065583E">
        <w:t>lan and make spectrum available.</w:t>
      </w:r>
      <w:r w:rsidR="00AA1CF5">
        <w:t xml:space="preserve"> We rely heavily on spectrum users themselves to keep us informed.</w:t>
      </w:r>
      <w:r w:rsidR="002D1D48">
        <w:t xml:space="preserve"> </w:t>
      </w:r>
    </w:p>
    <w:p w14:paraId="076833BB" w14:textId="77777777" w:rsidR="00EE7A0D" w:rsidRDefault="00835321" w:rsidP="0022550C">
      <w:r>
        <w:t>The</w:t>
      </w:r>
      <w:r w:rsidR="00E14131">
        <w:t xml:space="preserve"> </w:t>
      </w:r>
      <w:r>
        <w:t>ACMA has co</w:t>
      </w:r>
      <w:r w:rsidR="00B33B81">
        <w:t xml:space="preserve">nsulted annually with industry about </w:t>
      </w:r>
      <w:r>
        <w:t xml:space="preserve">its spectrum management priorities through its </w:t>
      </w:r>
      <w:r w:rsidR="00E14131">
        <w:t>f</w:t>
      </w:r>
      <w:r>
        <w:t>ive</w:t>
      </w:r>
      <w:r w:rsidR="00E14131">
        <w:t>-y</w:t>
      </w:r>
      <w:r>
        <w:t xml:space="preserve">ear </w:t>
      </w:r>
      <w:r w:rsidR="00E14131">
        <w:t>s</w:t>
      </w:r>
      <w:r>
        <w:t xml:space="preserve">pectrum </w:t>
      </w:r>
      <w:r w:rsidR="00E14131">
        <w:t>o</w:t>
      </w:r>
      <w:r>
        <w:t xml:space="preserve">utlook (FYSO) since 2009. </w:t>
      </w:r>
      <w:r w:rsidR="003A06EE">
        <w:t>Last year</w:t>
      </w:r>
      <w:r w:rsidR="00A140B6">
        <w:t>,</w:t>
      </w:r>
      <w:r w:rsidR="003A06EE">
        <w:t xml:space="preserve"> we took steps </w:t>
      </w:r>
      <w:r w:rsidR="00380438">
        <w:t>to align the FYSO with the Spectrum Review’s recommendation for a spectrum work program</w:t>
      </w:r>
      <w:r w:rsidR="003A06EE">
        <w:t xml:space="preserve">. </w:t>
      </w:r>
      <w:r w:rsidR="00FA350F" w:rsidRPr="00CF58FB">
        <w:t xml:space="preserve">Such a work program is expected to </w:t>
      </w:r>
      <w:r w:rsidR="00172EB0" w:rsidRPr="009227D4">
        <w:t>cover at least five financial years</w:t>
      </w:r>
      <w:r w:rsidR="005D3500" w:rsidRPr="009227D4">
        <w:t xml:space="preserve">, </w:t>
      </w:r>
      <w:r w:rsidR="003A06EE" w:rsidRPr="00FA350F">
        <w:t xml:space="preserve">be </w:t>
      </w:r>
      <w:r w:rsidR="00172EB0" w:rsidRPr="00FA350F">
        <w:t>updated and published each financial year</w:t>
      </w:r>
      <w:r w:rsidR="005D3500" w:rsidRPr="00FA350F">
        <w:t xml:space="preserve"> after consultation with </w:t>
      </w:r>
      <w:r w:rsidR="00172EB0" w:rsidRPr="00FA350F">
        <w:t xml:space="preserve">the minister, and </w:t>
      </w:r>
      <w:r w:rsidR="003A06EE" w:rsidRPr="00FA350F">
        <w:t xml:space="preserve">reflect </w:t>
      </w:r>
      <w:r w:rsidR="005D3500" w:rsidRPr="009227D4">
        <w:t xml:space="preserve">consideration of </w:t>
      </w:r>
      <w:r w:rsidR="00172EB0" w:rsidRPr="009227D4">
        <w:t xml:space="preserve">submissions </w:t>
      </w:r>
      <w:r w:rsidR="005D3500" w:rsidRPr="009227D4">
        <w:t xml:space="preserve">from stakeholders </w:t>
      </w:r>
      <w:r w:rsidR="00172EB0" w:rsidRPr="00FA350F">
        <w:t xml:space="preserve">prior to </w:t>
      </w:r>
      <w:r w:rsidR="005D3500" w:rsidRPr="00FA350F">
        <w:t>finalising t</w:t>
      </w:r>
      <w:r w:rsidR="00172EB0" w:rsidRPr="00FA350F">
        <w:t>he work program.</w:t>
      </w:r>
      <w:r w:rsidR="00172EB0" w:rsidRPr="00A30CFC">
        <w:t xml:space="preserve"> </w:t>
      </w:r>
    </w:p>
    <w:p w14:paraId="43953099" w14:textId="77777777" w:rsidR="00C073D9" w:rsidRDefault="00C073D9" w:rsidP="00C073D9">
      <w:pPr>
        <w:rPr>
          <w:rFonts w:cs="Arial"/>
          <w:szCs w:val="20"/>
        </w:rPr>
      </w:pPr>
      <w:r>
        <w:rPr>
          <w:rFonts w:cs="Arial"/>
          <w:szCs w:val="20"/>
        </w:rPr>
        <w:t>The ACMA designs and adapts its spectrum management work program within its resources to meet these responsibilities, notably to ensure the overall public benefit derived from using the radiofrequency spectrum, in response to a range of demands and drivers.</w:t>
      </w:r>
    </w:p>
    <w:p w14:paraId="4D76491B" w14:textId="66089577" w:rsidR="002D1D48" w:rsidRDefault="00C073D9" w:rsidP="0022550C">
      <w:r>
        <w:rPr>
          <w:rFonts w:cs="Arial"/>
          <w:szCs w:val="20"/>
        </w:rPr>
        <w:t xml:space="preserve">This year’s FYSO is the first to be informed by the publication of a draft prior to finalisation. </w:t>
      </w:r>
      <w:r w:rsidR="00D02B2C">
        <w:t>We received 33 submissions to the draft 2018</w:t>
      </w:r>
      <w:r w:rsidR="00DA45F0">
        <w:t xml:space="preserve">–22 </w:t>
      </w:r>
      <w:r w:rsidR="00D02B2C">
        <w:t>FYSO</w:t>
      </w:r>
      <w:r w:rsidR="00E31793">
        <w:t xml:space="preserve"> (this includes two submissions </w:t>
      </w:r>
      <w:r w:rsidR="00890D6F">
        <w:t xml:space="preserve">that </w:t>
      </w:r>
      <w:r w:rsidR="00E31793">
        <w:t>are confidential)</w:t>
      </w:r>
      <w:r w:rsidR="00D02B2C">
        <w:t xml:space="preserve">. These submissions were generally supportive </w:t>
      </w:r>
      <w:r w:rsidR="00C347F6">
        <w:t>of the changes the ACMA</w:t>
      </w:r>
      <w:r w:rsidR="003155C7">
        <w:t xml:space="preserve"> has made t</w:t>
      </w:r>
      <w:r w:rsidR="004E2BFF">
        <w:t xml:space="preserve">o </w:t>
      </w:r>
      <w:r w:rsidR="001B7611">
        <w:t xml:space="preserve">clearly outline its </w:t>
      </w:r>
      <w:r w:rsidR="003155C7">
        <w:t>w</w:t>
      </w:r>
      <w:r w:rsidR="00C347F6">
        <w:t>ork program</w:t>
      </w:r>
      <w:r w:rsidR="003155C7">
        <w:t xml:space="preserve"> priorities. As a result of the cons</w:t>
      </w:r>
      <w:r w:rsidR="00C347F6">
        <w:t>tructive and d</w:t>
      </w:r>
      <w:r w:rsidR="00D02B2C">
        <w:t xml:space="preserve">etailed feedback </w:t>
      </w:r>
      <w:r w:rsidR="003155C7">
        <w:t>provided, the ACMA is proposing changes to this final work program for the 2018</w:t>
      </w:r>
      <w:r w:rsidR="005A6EAB">
        <w:t>–</w:t>
      </w:r>
      <w:r w:rsidR="003155C7">
        <w:t xml:space="preserve">19 year.  </w:t>
      </w:r>
    </w:p>
    <w:p w14:paraId="4DDF5D63" w14:textId="77777777" w:rsidR="00C347F6" w:rsidRDefault="00C347F6" w:rsidP="0022550C">
      <w:r>
        <w:t xml:space="preserve">A response to </w:t>
      </w:r>
      <w:r w:rsidR="003155C7">
        <w:t xml:space="preserve">issues raised in </w:t>
      </w:r>
      <w:r>
        <w:t>submissions is provided as an Addendum to the FYSO.</w:t>
      </w:r>
      <w:r w:rsidR="005F3D42" w:rsidRPr="005F3D42">
        <w:t xml:space="preserve"> </w:t>
      </w:r>
      <w:r w:rsidR="005F3D42">
        <w:t>Where priority changes have been made in response to feedback, these are identified with an update symbol</w:t>
      </w:r>
      <w:r w:rsidR="005A6EAB">
        <w:t>:</w:t>
      </w:r>
      <w:r w:rsidR="005F3D42">
        <w:t xml:space="preserve"> </w:t>
      </w:r>
      <w:r w:rsidR="005F3D42">
        <w:rPr>
          <w:noProof/>
        </w:rPr>
        <w:drawing>
          <wp:inline distT="0" distB="0" distL="0" distR="0" wp14:anchorId="54F9F241" wp14:editId="13CF8F64">
            <wp:extent cx="207010" cy="152400"/>
            <wp:effectExtent l="0" t="0" r="2540" b="0"/>
            <wp:docPr id="16" name="Picture 16"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5F3D42">
        <w:t xml:space="preserve">  </w:t>
      </w:r>
    </w:p>
    <w:p w14:paraId="0D0E6ADF" w14:textId="77777777" w:rsidR="00C347F6" w:rsidRDefault="00FE2F8A" w:rsidP="000B286C">
      <w:pPr>
        <w:pStyle w:val="Heading2"/>
      </w:pPr>
      <w:bookmarkStart w:id="11" w:name="_Toc522794070"/>
      <w:bookmarkStart w:id="12" w:name="_Toc524517076"/>
      <w:bookmarkStart w:id="13" w:name="_Hlk522026882"/>
      <w:r>
        <w:t xml:space="preserve">Focus of changes </w:t>
      </w:r>
      <w:r w:rsidR="00C347F6">
        <w:t>made in response to submissions</w:t>
      </w:r>
      <w:bookmarkEnd w:id="11"/>
      <w:bookmarkEnd w:id="12"/>
    </w:p>
    <w:p w14:paraId="7D26A08F" w14:textId="77777777" w:rsidR="003155C7" w:rsidRDefault="00CC1371" w:rsidP="0022550C">
      <w:r>
        <w:t>As a result of issues raised in submissions, the ACMA</w:t>
      </w:r>
      <w:r w:rsidR="003155C7">
        <w:t xml:space="preserve"> is making the following changes to its work program.</w:t>
      </w:r>
    </w:p>
    <w:p w14:paraId="4DEA8CF4" w14:textId="77777777" w:rsidR="00C073D9" w:rsidRPr="00FE2F8A" w:rsidRDefault="00A90E9D" w:rsidP="003155C7">
      <w:pPr>
        <w:pStyle w:val="ListBullet"/>
        <w:rPr>
          <w:b/>
        </w:rPr>
      </w:pPr>
      <w:r>
        <w:rPr>
          <w:b/>
        </w:rPr>
        <w:t>At a glance s</w:t>
      </w:r>
      <w:r w:rsidR="003155C7" w:rsidRPr="00FE2F8A">
        <w:rPr>
          <w:b/>
        </w:rPr>
        <w:t>ummary information</w:t>
      </w:r>
    </w:p>
    <w:p w14:paraId="3A2E41FC" w14:textId="77777777" w:rsidR="003155C7" w:rsidRDefault="005A6EAB" w:rsidP="000B286C">
      <w:pPr>
        <w:pStyle w:val="ListBullet"/>
        <w:numPr>
          <w:ilvl w:val="0"/>
          <w:numId w:val="0"/>
        </w:numPr>
        <w:ind w:left="295"/>
      </w:pPr>
      <w:r>
        <w:t>A</w:t>
      </w:r>
      <w:r w:rsidR="003155C7">
        <w:t xml:space="preserve"> consultation timetable is now included, to alert stakeholders to forthcoming activities where they may wish to engage with the ACMA’s regulatory review and development activity</w:t>
      </w:r>
      <w:r>
        <w:t>.</w:t>
      </w:r>
    </w:p>
    <w:p w14:paraId="1BA6361E" w14:textId="77777777" w:rsidR="00C073D9" w:rsidRPr="00FE2F8A" w:rsidRDefault="003155C7" w:rsidP="003155C7">
      <w:pPr>
        <w:pStyle w:val="ListBullet"/>
        <w:rPr>
          <w:b/>
        </w:rPr>
      </w:pPr>
      <w:r w:rsidRPr="00FE2F8A">
        <w:rPr>
          <w:b/>
        </w:rPr>
        <w:t>Part 1</w:t>
      </w:r>
      <w:r w:rsidR="007B0B47">
        <w:rPr>
          <w:b/>
        </w:rPr>
        <w:t>—</w:t>
      </w:r>
      <w:r w:rsidRPr="00FE2F8A">
        <w:rPr>
          <w:b/>
        </w:rPr>
        <w:t>Environmental outlook</w:t>
      </w:r>
    </w:p>
    <w:p w14:paraId="5276E102" w14:textId="77777777" w:rsidR="003155C7" w:rsidRDefault="00DE6912" w:rsidP="00C073D9">
      <w:pPr>
        <w:pStyle w:val="ListBullet"/>
        <w:numPr>
          <w:ilvl w:val="0"/>
          <w:numId w:val="0"/>
        </w:numPr>
        <w:ind w:left="295"/>
      </w:pPr>
      <w:r>
        <w:t>S</w:t>
      </w:r>
      <w:r w:rsidR="003155C7">
        <w:t xml:space="preserve">uggestions for a broader focus by the ACMA on the </w:t>
      </w:r>
      <w:r w:rsidR="00C073D9">
        <w:t xml:space="preserve">spectrum demand pressures arising from the </w:t>
      </w:r>
      <w:r w:rsidR="003155C7">
        <w:t>Internet of Things, space and satellite industry,</w:t>
      </w:r>
      <w:r w:rsidR="0001012F">
        <w:t xml:space="preserve"> </w:t>
      </w:r>
      <w:r w:rsidR="003155C7">
        <w:t xml:space="preserve">5G and mobile </w:t>
      </w:r>
      <w:r w:rsidR="003155C7">
        <w:lastRenderedPageBreak/>
        <w:t>broadband developments will be taken up over the course of the year</w:t>
      </w:r>
      <w:r w:rsidR="00C073D9">
        <w:t xml:space="preserve"> and reflected in future updates.</w:t>
      </w:r>
    </w:p>
    <w:p w14:paraId="35A2E7D6" w14:textId="35B2C8AD" w:rsidR="00C073D9" w:rsidRDefault="00C073D9" w:rsidP="00C51923">
      <w:pPr>
        <w:pStyle w:val="ListBullet"/>
        <w:keepNext/>
        <w:keepLines/>
        <w:rPr>
          <w:b/>
        </w:rPr>
      </w:pPr>
      <w:r w:rsidRPr="007B0B47">
        <w:rPr>
          <w:b/>
        </w:rPr>
        <w:t>Part 2</w:t>
      </w:r>
      <w:r w:rsidR="007B0B47">
        <w:rPr>
          <w:b/>
        </w:rPr>
        <w:t>—</w:t>
      </w:r>
      <w:r w:rsidR="000B286C" w:rsidRPr="007B0B47">
        <w:rPr>
          <w:b/>
        </w:rPr>
        <w:t>2018</w:t>
      </w:r>
      <w:r w:rsidR="00DE6912" w:rsidRPr="00991CD9">
        <w:rPr>
          <w:b/>
        </w:rPr>
        <w:t>–</w:t>
      </w:r>
      <w:r w:rsidR="000B286C" w:rsidRPr="007B0B47">
        <w:rPr>
          <w:b/>
        </w:rPr>
        <w:t>19</w:t>
      </w:r>
      <w:r w:rsidR="00091E8B">
        <w:rPr>
          <w:b/>
        </w:rPr>
        <w:t xml:space="preserve"> </w:t>
      </w:r>
      <w:r w:rsidR="00DA45F0">
        <w:rPr>
          <w:b/>
        </w:rPr>
        <w:t xml:space="preserve">Spectrum </w:t>
      </w:r>
      <w:r w:rsidR="00F67D15">
        <w:rPr>
          <w:b/>
        </w:rPr>
        <w:t xml:space="preserve">work </w:t>
      </w:r>
      <w:r w:rsidRPr="000B286C">
        <w:rPr>
          <w:b/>
        </w:rPr>
        <w:t>program</w:t>
      </w:r>
    </w:p>
    <w:p w14:paraId="45A4DBFA" w14:textId="77777777" w:rsidR="00ED4C1D" w:rsidRPr="00D65B4A" w:rsidRDefault="00DE6912" w:rsidP="001B1B7A">
      <w:pPr>
        <w:pStyle w:val="ListBullet"/>
        <w:keepNext/>
        <w:keepLines/>
        <w:numPr>
          <w:ilvl w:val="0"/>
          <w:numId w:val="0"/>
        </w:numPr>
        <w:ind w:left="295"/>
      </w:pPr>
      <w:r>
        <w:t>S</w:t>
      </w:r>
      <w:r w:rsidR="00ED4C1D">
        <w:t>uggestions for better explaining the basis for changes to our spectrum management priorities</w:t>
      </w:r>
      <w:r>
        <w:t>.</w:t>
      </w:r>
    </w:p>
    <w:p w14:paraId="6097DA7D" w14:textId="77777777" w:rsidR="00C073D9" w:rsidRPr="000B286C" w:rsidRDefault="000B286C" w:rsidP="001B1B7A">
      <w:pPr>
        <w:pStyle w:val="ListBullet"/>
        <w:keepNext/>
        <w:keepLines/>
        <w:rPr>
          <w:b/>
        </w:rPr>
      </w:pPr>
      <w:r w:rsidRPr="000B286C">
        <w:rPr>
          <w:b/>
        </w:rPr>
        <w:t>Planning</w:t>
      </w:r>
      <w:r w:rsidR="003038DD">
        <w:rPr>
          <w:b/>
        </w:rPr>
        <w:t xml:space="preserve"> priority changes</w:t>
      </w:r>
    </w:p>
    <w:p w14:paraId="3CA5D0FE" w14:textId="77777777" w:rsidR="00FE2F8A" w:rsidRDefault="000F39D4" w:rsidP="001B1B7A">
      <w:pPr>
        <w:pStyle w:val="ListBullet"/>
        <w:keepNext/>
        <w:keepLines/>
        <w:numPr>
          <w:ilvl w:val="0"/>
          <w:numId w:val="0"/>
        </w:numPr>
        <w:ind w:left="295"/>
      </w:pPr>
      <w:r>
        <w:t>Fast</w:t>
      </w:r>
      <w:r w:rsidR="008D2883">
        <w:t>-</w:t>
      </w:r>
      <w:r>
        <w:t xml:space="preserve">moving developments in the international environment and </w:t>
      </w:r>
      <w:r w:rsidR="00FE2F8A">
        <w:t>changing demand from industry</w:t>
      </w:r>
      <w:r w:rsidR="007B0B47">
        <w:t>,</w:t>
      </w:r>
      <w:r w:rsidR="00FE2F8A">
        <w:t xml:space="preserve"> as expressed in submissions to the FYSO</w:t>
      </w:r>
      <w:r w:rsidR="007B0B47">
        <w:t>,</w:t>
      </w:r>
      <w:r w:rsidR="00FE2F8A">
        <w:t xml:space="preserve"> has led the ACMA to reprioritise and bring forward planning work in a number of key bands</w:t>
      </w:r>
      <w:r w:rsidR="008D2883">
        <w:t>:</w:t>
      </w:r>
    </w:p>
    <w:p w14:paraId="404F631C" w14:textId="77777777" w:rsidR="0014735E" w:rsidRPr="0014735E" w:rsidRDefault="00FE2F8A" w:rsidP="001B1B7A">
      <w:pPr>
        <w:pStyle w:val="ListBullet"/>
        <w:tabs>
          <w:tab w:val="clear" w:pos="295"/>
          <w:tab w:val="num" w:pos="709"/>
        </w:tabs>
        <w:ind w:left="709" w:hanging="425"/>
        <w:rPr>
          <w:i/>
        </w:rPr>
      </w:pPr>
      <w:bookmarkStart w:id="14" w:name="_Hlk521587551"/>
      <w:r w:rsidRPr="0014735E">
        <w:rPr>
          <w:b/>
        </w:rPr>
        <w:t>2</w:t>
      </w:r>
      <w:r w:rsidR="007246E7">
        <w:rPr>
          <w:b/>
        </w:rPr>
        <w:t xml:space="preserve"> </w:t>
      </w:r>
      <w:r w:rsidRPr="0014735E">
        <w:rPr>
          <w:b/>
        </w:rPr>
        <w:t>GHz</w:t>
      </w:r>
      <w:r w:rsidR="008D2883">
        <w:t>—A</w:t>
      </w:r>
      <w:r w:rsidR="0014735E">
        <w:t xml:space="preserve"> wide set of interested parties representing </w:t>
      </w:r>
      <w:r w:rsidRPr="008B1FCC">
        <w:t xml:space="preserve">satellite, </w:t>
      </w:r>
      <w:r w:rsidR="0014735E">
        <w:t>television outside broadcasting</w:t>
      </w:r>
      <w:r w:rsidR="007246E7">
        <w:t>,</w:t>
      </w:r>
      <w:r w:rsidR="007246E7" w:rsidDel="003A0C6D">
        <w:t xml:space="preserve"> </w:t>
      </w:r>
      <w:r w:rsidR="007246E7">
        <w:t>direct air</w:t>
      </w:r>
      <w:r w:rsidR="008D2883">
        <w:t>-</w:t>
      </w:r>
      <w:r w:rsidR="007246E7">
        <w:t>to</w:t>
      </w:r>
      <w:r w:rsidR="008D2883">
        <w:t>-</w:t>
      </w:r>
      <w:r w:rsidR="007246E7">
        <w:t>ground</w:t>
      </w:r>
      <w:r w:rsidR="0014735E">
        <w:t xml:space="preserve"> </w:t>
      </w:r>
      <w:r w:rsidR="003C125C">
        <w:t xml:space="preserve">and broadband wireless access </w:t>
      </w:r>
      <w:r w:rsidR="0014735E">
        <w:t xml:space="preserve">users requested that the ACMA accelerate its planning work for this band. The ACMA is intending to develop a discussion paper </w:t>
      </w:r>
      <w:r w:rsidR="00C82255">
        <w:t xml:space="preserve">seeking industry views on re-planning </w:t>
      </w:r>
      <w:r w:rsidR="00A4569B">
        <w:t>considerations</w:t>
      </w:r>
      <w:r w:rsidR="00C82255">
        <w:t xml:space="preserve"> </w:t>
      </w:r>
      <w:r w:rsidR="0014735E">
        <w:t>for the band for release at the end of Q</w:t>
      </w:r>
      <w:r w:rsidR="00C82255">
        <w:t>4</w:t>
      </w:r>
      <w:r w:rsidR="00494BB9">
        <w:t xml:space="preserve"> (2018</w:t>
      </w:r>
      <w:r w:rsidR="008D2883">
        <w:t>–</w:t>
      </w:r>
      <w:r w:rsidR="00494BB9">
        <w:t>19)</w:t>
      </w:r>
      <w:r w:rsidR="0014735E">
        <w:t>.</w:t>
      </w:r>
      <w:r w:rsidR="007246E7">
        <w:t xml:space="preserve"> A consequence of this change is that consideration of the 1.5 GHz band matters will be deferred to until the 2019</w:t>
      </w:r>
      <w:r w:rsidR="007B0B47" w:rsidRPr="00A24446">
        <w:rPr>
          <w:w w:val="240"/>
        </w:rPr>
        <w:noBreakHyphen/>
      </w:r>
      <w:r w:rsidR="007246E7">
        <w:t>20 financial year.</w:t>
      </w:r>
    </w:p>
    <w:p w14:paraId="409A03E9" w14:textId="77777777" w:rsidR="00BF5FD2" w:rsidRDefault="00FE2F8A" w:rsidP="001B1B7A">
      <w:pPr>
        <w:pStyle w:val="ListBullet"/>
        <w:tabs>
          <w:tab w:val="clear" w:pos="295"/>
          <w:tab w:val="num" w:pos="709"/>
        </w:tabs>
        <w:ind w:left="709" w:hanging="425"/>
      </w:pPr>
      <w:r w:rsidRPr="0014735E">
        <w:rPr>
          <w:b/>
        </w:rPr>
        <w:t>3.3</w:t>
      </w:r>
      <w:r w:rsidR="008D2883">
        <w:rPr>
          <w:b/>
        </w:rPr>
        <w:t>–</w:t>
      </w:r>
      <w:r w:rsidRPr="0014735E">
        <w:rPr>
          <w:b/>
        </w:rPr>
        <w:t>3.4 G</w:t>
      </w:r>
      <w:r w:rsidR="007246E7">
        <w:rPr>
          <w:b/>
        </w:rPr>
        <w:t>H</w:t>
      </w:r>
      <w:r w:rsidRPr="0014735E">
        <w:rPr>
          <w:b/>
        </w:rPr>
        <w:t>z</w:t>
      </w:r>
      <w:r w:rsidR="008D2883">
        <w:t>—</w:t>
      </w:r>
      <w:r w:rsidR="008A3C75">
        <w:t>W</w:t>
      </w:r>
      <w:r w:rsidR="002714B8">
        <w:t xml:space="preserve">hile retained at the ‘monitoring’ stage, in response to feedback from a number of submitters, </w:t>
      </w:r>
      <w:r w:rsidR="0014735E">
        <w:t xml:space="preserve">the ACMA </w:t>
      </w:r>
      <w:r w:rsidR="002714B8">
        <w:t>has specifically outlined additional work it will undertake in the next year on dynamic sharing models in the band</w:t>
      </w:r>
      <w:r w:rsidR="0014735E">
        <w:t>.</w:t>
      </w:r>
    </w:p>
    <w:p w14:paraId="6F94DA35" w14:textId="77777777" w:rsidR="00FE2F8A" w:rsidRPr="00CD17DD" w:rsidRDefault="00FE2F8A" w:rsidP="001B1B7A">
      <w:pPr>
        <w:pStyle w:val="ListBullet"/>
        <w:tabs>
          <w:tab w:val="clear" w:pos="295"/>
          <w:tab w:val="num" w:pos="709"/>
        </w:tabs>
        <w:ind w:left="709" w:hanging="425"/>
      </w:pPr>
      <w:r w:rsidRPr="00BF5FD2">
        <w:rPr>
          <w:b/>
        </w:rPr>
        <w:t>3.4</w:t>
      </w:r>
      <w:r w:rsidR="008D2883">
        <w:rPr>
          <w:b/>
        </w:rPr>
        <w:t>–</w:t>
      </w:r>
      <w:r w:rsidRPr="00BF5FD2">
        <w:rPr>
          <w:b/>
        </w:rPr>
        <w:t>3.5</w:t>
      </w:r>
      <w:r w:rsidR="007246E7">
        <w:rPr>
          <w:b/>
        </w:rPr>
        <w:t>75</w:t>
      </w:r>
      <w:r w:rsidRPr="00BF5FD2">
        <w:rPr>
          <w:b/>
        </w:rPr>
        <w:t xml:space="preserve"> GHz</w:t>
      </w:r>
      <w:r w:rsidR="008D2883">
        <w:t>—</w:t>
      </w:r>
      <w:r w:rsidR="009227D4" w:rsidRPr="00CF58FB">
        <w:t xml:space="preserve">Submissions encouraged </w:t>
      </w:r>
      <w:r w:rsidR="003B7852">
        <w:t xml:space="preserve">the </w:t>
      </w:r>
      <w:r w:rsidR="009227D4" w:rsidRPr="00CF58FB">
        <w:t xml:space="preserve">ACMA to, </w:t>
      </w:r>
      <w:r w:rsidR="009227D4" w:rsidRPr="00CF58FB">
        <w:rPr>
          <w:szCs w:val="20"/>
        </w:rPr>
        <w:t>u</w:t>
      </w:r>
      <w:r w:rsidR="002F0B06" w:rsidRPr="009227D4">
        <w:rPr>
          <w:szCs w:val="20"/>
        </w:rPr>
        <w:t>pon</w:t>
      </w:r>
      <w:r w:rsidR="00BF5FD2" w:rsidRPr="00A67865">
        <w:rPr>
          <w:szCs w:val="20"/>
        </w:rPr>
        <w:t xml:space="preserve"> conclusion of the 3.6 G</w:t>
      </w:r>
      <w:r w:rsidR="00CD17DD" w:rsidRPr="00A67865">
        <w:rPr>
          <w:szCs w:val="20"/>
        </w:rPr>
        <w:t>H</w:t>
      </w:r>
      <w:r w:rsidR="00BF5FD2" w:rsidRPr="00A67865">
        <w:rPr>
          <w:szCs w:val="20"/>
        </w:rPr>
        <w:t>z auction</w:t>
      </w:r>
      <w:r w:rsidR="00BF5FD2" w:rsidRPr="009227D4">
        <w:rPr>
          <w:szCs w:val="20"/>
        </w:rPr>
        <w:t xml:space="preserve">, </w:t>
      </w:r>
      <w:r w:rsidR="00BF5FD2" w:rsidRPr="00A67865">
        <w:rPr>
          <w:szCs w:val="20"/>
        </w:rPr>
        <w:t>consider optimising allocations</w:t>
      </w:r>
      <w:r w:rsidR="00BF5FD2" w:rsidRPr="003B7852">
        <w:rPr>
          <w:szCs w:val="20"/>
        </w:rPr>
        <w:t xml:space="preserve"> across licensees’ existing and newly acquired spectrum holdings, which may include defragmentation and licence </w:t>
      </w:r>
      <w:r w:rsidR="00BF5FD2" w:rsidRPr="003B7852">
        <w:t>conversion processes</w:t>
      </w:r>
      <w:r w:rsidR="00BF5FD2" w:rsidRPr="00CD17DD">
        <w:t xml:space="preserve">. The ACMA intends to issue a discussion </w:t>
      </w:r>
      <w:r w:rsidR="00BF5FD2" w:rsidRPr="00BF5FD2">
        <w:t>paper on reconfiguration options in 3.4</w:t>
      </w:r>
      <w:r w:rsidR="008D2883">
        <w:t>–</w:t>
      </w:r>
      <w:r w:rsidR="007246E7">
        <w:t>3.</w:t>
      </w:r>
      <w:r w:rsidR="00BF5FD2" w:rsidRPr="00BF5FD2">
        <w:t>5</w:t>
      </w:r>
      <w:r w:rsidR="007246E7">
        <w:t>75</w:t>
      </w:r>
      <w:r w:rsidR="00BF5FD2" w:rsidRPr="00BF5FD2">
        <w:t xml:space="preserve"> GHz band in Q3, following the conclusion of the 3.6 </w:t>
      </w:r>
      <w:r w:rsidR="00BF5FD2" w:rsidRPr="00CD17DD">
        <w:t>G</w:t>
      </w:r>
      <w:r w:rsidR="00CD17DD">
        <w:t>H</w:t>
      </w:r>
      <w:r w:rsidR="00BF5FD2" w:rsidRPr="00CD17DD">
        <w:t>z</w:t>
      </w:r>
      <w:r w:rsidR="00BF5FD2" w:rsidRPr="00BF5FD2">
        <w:t xml:space="preserve"> auction</w:t>
      </w:r>
      <w:r w:rsidR="00BF5FD2" w:rsidRPr="00CD17DD">
        <w:t>.</w:t>
      </w:r>
    </w:p>
    <w:p w14:paraId="3C8417EB" w14:textId="67ED12EA" w:rsidR="003F265F" w:rsidRDefault="00FE2F8A" w:rsidP="001B1B7A">
      <w:pPr>
        <w:pStyle w:val="ListBullet"/>
        <w:tabs>
          <w:tab w:val="clear" w:pos="295"/>
          <w:tab w:val="num" w:pos="709"/>
        </w:tabs>
        <w:ind w:left="709" w:hanging="425"/>
      </w:pPr>
      <w:r w:rsidRPr="00CD17DD">
        <w:rPr>
          <w:b/>
        </w:rPr>
        <w:t>3.7</w:t>
      </w:r>
      <w:r w:rsidR="008D2883">
        <w:rPr>
          <w:b/>
        </w:rPr>
        <w:t>–</w:t>
      </w:r>
      <w:r w:rsidRPr="00CD17DD">
        <w:rPr>
          <w:b/>
        </w:rPr>
        <w:t>4.2 G</w:t>
      </w:r>
      <w:r w:rsidR="005D02D5" w:rsidRPr="00CD17DD">
        <w:rPr>
          <w:b/>
        </w:rPr>
        <w:t>H</w:t>
      </w:r>
      <w:r w:rsidRPr="00CD17DD">
        <w:rPr>
          <w:b/>
        </w:rPr>
        <w:t>z</w:t>
      </w:r>
      <w:r w:rsidR="008D2883">
        <w:t>—I</w:t>
      </w:r>
      <w:r w:rsidR="00CD17DD">
        <w:t>nterest in accelerating planning work in t</w:t>
      </w:r>
      <w:r w:rsidR="003F265F">
        <w:t xml:space="preserve">hese bands </w:t>
      </w:r>
      <w:r w:rsidR="00CD17DD">
        <w:t xml:space="preserve">came from </w:t>
      </w:r>
      <w:r w:rsidR="006E4BE6">
        <w:t xml:space="preserve">some </w:t>
      </w:r>
      <w:r w:rsidR="00CD17DD">
        <w:t xml:space="preserve">stakeholders. </w:t>
      </w:r>
      <w:r w:rsidR="006E4BE6">
        <w:t>R</w:t>
      </w:r>
      <w:r w:rsidR="00CD17DD">
        <w:t xml:space="preserve">ecent planning developments in other jurisdictions (UK and </w:t>
      </w:r>
      <w:r w:rsidR="008D2883">
        <w:t xml:space="preserve">the </w:t>
      </w:r>
      <w:r w:rsidR="00CD17DD">
        <w:t xml:space="preserve">US) </w:t>
      </w:r>
      <w:r w:rsidR="00CB087E">
        <w:t xml:space="preserve">have </w:t>
      </w:r>
      <w:r w:rsidR="00CD17DD">
        <w:t>highlight</w:t>
      </w:r>
      <w:r w:rsidR="00CB087E">
        <w:t>ed</w:t>
      </w:r>
      <w:r w:rsidR="00CD17DD">
        <w:t xml:space="preserve"> growing interest internationally</w:t>
      </w:r>
      <w:r w:rsidR="003F265F">
        <w:t xml:space="preserve"> in the band</w:t>
      </w:r>
      <w:r w:rsidR="00CB087E">
        <w:t>, but also increasing interest in more holistic approaches that seek to take account of existing (incumbent) requirements</w:t>
      </w:r>
      <w:r w:rsidR="00365525">
        <w:t>,</w:t>
      </w:r>
      <w:r w:rsidR="00CB087E">
        <w:t xml:space="preserve"> as well as the pressure to accommodate new technologies. It is timely to discuss the significance of these developments for </w:t>
      </w:r>
      <w:r w:rsidR="00C50CD1">
        <w:t>long</w:t>
      </w:r>
      <w:r w:rsidR="00365525">
        <w:t>-</w:t>
      </w:r>
      <w:r w:rsidR="00C50CD1">
        <w:t xml:space="preserve">term arrangements </w:t>
      </w:r>
      <w:r w:rsidR="00CB087E">
        <w:t>in</w:t>
      </w:r>
      <w:r w:rsidR="00C50CD1">
        <w:t xml:space="preserve"> the 3700</w:t>
      </w:r>
      <w:r w:rsidR="00365525">
        <w:t>–</w:t>
      </w:r>
      <w:r w:rsidR="00C50CD1">
        <w:t>4200 MHz band</w:t>
      </w:r>
      <w:r w:rsidR="00CB087E">
        <w:t xml:space="preserve"> in Australia</w:t>
      </w:r>
      <w:r w:rsidR="00C50CD1">
        <w:t>.</w:t>
      </w:r>
      <w:r w:rsidR="007B0B47" w:rsidRPr="005B3CF7">
        <w:t xml:space="preserve"> </w:t>
      </w:r>
      <w:r w:rsidR="00DA4B21" w:rsidRPr="005B3CF7">
        <w:t>The ACMA is considering releasing a discussion paper in Q4.</w:t>
      </w:r>
    </w:p>
    <w:p w14:paraId="3296652B" w14:textId="77777777" w:rsidR="00667020" w:rsidRPr="00667020" w:rsidRDefault="00667020" w:rsidP="001B1B7A">
      <w:pPr>
        <w:pStyle w:val="ListBullet"/>
        <w:tabs>
          <w:tab w:val="clear" w:pos="295"/>
          <w:tab w:val="num" w:pos="709"/>
        </w:tabs>
        <w:ind w:left="709" w:hanging="425"/>
      </w:pPr>
      <w:r w:rsidRPr="00667020">
        <w:rPr>
          <w:b/>
        </w:rPr>
        <w:t>26 GHz</w:t>
      </w:r>
      <w:r w:rsidR="008D2883">
        <w:rPr>
          <w:b/>
        </w:rPr>
        <w:t>—</w:t>
      </w:r>
      <w:r>
        <w:t xml:space="preserve">The ACMA </w:t>
      </w:r>
      <w:r w:rsidR="00ED53EC">
        <w:t>is developing an options paper on band planning for release in Q1.</w:t>
      </w:r>
    </w:p>
    <w:p w14:paraId="4EB3F172" w14:textId="38D83EF9" w:rsidR="00B15596" w:rsidRPr="00DA45F0" w:rsidRDefault="00CC1371" w:rsidP="001B1B7A">
      <w:pPr>
        <w:pStyle w:val="ListBullet"/>
        <w:tabs>
          <w:tab w:val="clear" w:pos="295"/>
          <w:tab w:val="num" w:pos="709"/>
        </w:tabs>
        <w:ind w:left="709" w:hanging="425"/>
        <w:rPr>
          <w:rFonts w:eastAsiaTheme="minorHAnsi"/>
          <w:b/>
        </w:rPr>
      </w:pPr>
      <w:r w:rsidRPr="00667020">
        <w:rPr>
          <w:b/>
        </w:rPr>
        <w:t>28 GHz</w:t>
      </w:r>
      <w:r w:rsidR="008D2883">
        <w:t>—</w:t>
      </w:r>
      <w:r w:rsidR="00667020">
        <w:t xml:space="preserve">The ACMA had proposed to release a technical rules paper looking at </w:t>
      </w:r>
      <w:r>
        <w:t>point</w:t>
      </w:r>
      <w:r w:rsidR="008D2883">
        <w:t>-</w:t>
      </w:r>
      <w:r>
        <w:t>to</w:t>
      </w:r>
      <w:r w:rsidR="008D2883">
        <w:t>-</w:t>
      </w:r>
      <w:r>
        <w:t xml:space="preserve">multipoint (PMP) </w:t>
      </w:r>
      <w:r w:rsidR="00667020">
        <w:t>uses, but feedback identified a wider set of interests</w:t>
      </w:r>
      <w:r w:rsidR="002714B8">
        <w:t xml:space="preserve">, including </w:t>
      </w:r>
      <w:r w:rsidR="00667020">
        <w:t xml:space="preserve">from </w:t>
      </w:r>
      <w:r>
        <w:t xml:space="preserve">satellite, </w:t>
      </w:r>
      <w:r w:rsidR="007246E7">
        <w:t xml:space="preserve">and potentially </w:t>
      </w:r>
      <w:r>
        <w:t>5G</w:t>
      </w:r>
      <w:r w:rsidR="00667020">
        <w:t xml:space="preserve"> broadband as well as </w:t>
      </w:r>
      <w:r w:rsidR="00D0518C">
        <w:t xml:space="preserve">PMP uses in the band. The ACMA expects to develop a discussion paper in </w:t>
      </w:r>
      <w:r w:rsidR="00DA45F0">
        <w:t>Q1–2</w:t>
      </w:r>
      <w:r w:rsidR="00D0518C">
        <w:t xml:space="preserve">. </w:t>
      </w:r>
    </w:p>
    <w:bookmarkEnd w:id="14"/>
    <w:p w14:paraId="5A241598" w14:textId="77777777" w:rsidR="00CC1371" w:rsidRPr="00BC33FD" w:rsidRDefault="00CC1371" w:rsidP="007B2D5A">
      <w:pPr>
        <w:pStyle w:val="ListBullet"/>
        <w:rPr>
          <w:rFonts w:eastAsiaTheme="minorHAnsi"/>
          <w:b/>
        </w:rPr>
      </w:pPr>
      <w:r w:rsidRPr="00BC33FD">
        <w:rPr>
          <w:b/>
        </w:rPr>
        <w:t>Forward allocation work program</w:t>
      </w:r>
    </w:p>
    <w:p w14:paraId="355D4C19" w14:textId="77777777" w:rsidR="00CC1371" w:rsidRPr="00BC33FD" w:rsidRDefault="00BA26FE" w:rsidP="00D65B4A">
      <w:pPr>
        <w:ind w:left="284"/>
        <w:rPr>
          <w:i/>
        </w:rPr>
      </w:pPr>
      <w:r>
        <w:rPr>
          <w:rFonts w:eastAsiaTheme="minorHAnsi"/>
        </w:rPr>
        <w:t xml:space="preserve">The updated </w:t>
      </w:r>
      <w:r w:rsidR="002B7588">
        <w:rPr>
          <w:rFonts w:eastAsiaTheme="minorHAnsi"/>
        </w:rPr>
        <w:t xml:space="preserve">planning priorities </w:t>
      </w:r>
      <w:r>
        <w:rPr>
          <w:rFonts w:eastAsiaTheme="minorHAnsi"/>
        </w:rPr>
        <w:t>have consequences for the timing and sequencing</w:t>
      </w:r>
      <w:r w:rsidR="002B7588">
        <w:rPr>
          <w:rFonts w:eastAsiaTheme="minorHAnsi"/>
        </w:rPr>
        <w:t xml:space="preserve"> of spectrum that may become available for allocation by auction. </w:t>
      </w:r>
      <w:r>
        <w:rPr>
          <w:rFonts w:eastAsiaTheme="minorHAnsi"/>
        </w:rPr>
        <w:t>In response to feedback, the ACMA has prioritised action on the 26 GHz band</w:t>
      </w:r>
      <w:r w:rsidR="00BC33FD">
        <w:rPr>
          <w:rFonts w:eastAsiaTheme="minorHAnsi"/>
        </w:rPr>
        <w:t>. The potential timing of allocations has been amended to reflect these changes.</w:t>
      </w:r>
    </w:p>
    <w:p w14:paraId="573D39CA" w14:textId="77777777" w:rsidR="00CC1371" w:rsidRDefault="00CC1371" w:rsidP="001B1B7A">
      <w:pPr>
        <w:pStyle w:val="ACMATableHeader"/>
        <w:keepNext/>
        <w:keepLines/>
        <w:numPr>
          <w:ilvl w:val="0"/>
          <w:numId w:val="0"/>
        </w:numPr>
        <w:tabs>
          <w:tab w:val="left" w:pos="720"/>
        </w:tabs>
        <w:rPr>
          <w:rFonts w:eastAsiaTheme="minorHAnsi"/>
        </w:rPr>
      </w:pPr>
      <w:r>
        <w:lastRenderedPageBreak/>
        <w:t>Potential timing of allocations</w:t>
      </w:r>
    </w:p>
    <w:tbl>
      <w:tblPr>
        <w:tblStyle w:val="TableGrid"/>
        <w:tblW w:w="7661" w:type="dxa"/>
        <w:tblInd w:w="-5" w:type="dxa"/>
        <w:tblCellMar>
          <w:top w:w="57" w:type="dxa"/>
          <w:left w:w="57" w:type="dxa"/>
          <w:bottom w:w="57" w:type="dxa"/>
          <w:right w:w="57" w:type="dxa"/>
        </w:tblCellMar>
        <w:tblLook w:val="04A0" w:firstRow="1" w:lastRow="0" w:firstColumn="1" w:lastColumn="0" w:noHBand="0" w:noVBand="1"/>
      </w:tblPr>
      <w:tblGrid>
        <w:gridCol w:w="1095"/>
        <w:gridCol w:w="1310"/>
        <w:gridCol w:w="1302"/>
        <w:gridCol w:w="1538"/>
        <w:gridCol w:w="2416"/>
      </w:tblGrid>
      <w:tr w:rsidR="00D65B4A" w:rsidRPr="00445F0B" w14:paraId="3AADBD55" w14:textId="77777777" w:rsidTr="002E32BA">
        <w:trPr>
          <w:tblHeader/>
        </w:trPr>
        <w:tc>
          <w:tcPr>
            <w:tcW w:w="0" w:type="auto"/>
            <w:shd w:val="clear" w:color="auto" w:fill="404040" w:themeFill="text1" w:themeFillTint="BF"/>
          </w:tcPr>
          <w:p w14:paraId="62DEEB00" w14:textId="77777777" w:rsidR="00D65B4A" w:rsidRPr="00445F0B" w:rsidRDefault="00D65B4A" w:rsidP="00B747E1">
            <w:pPr>
              <w:pStyle w:val="TableHeading"/>
            </w:pPr>
            <w:bookmarkStart w:id="15" w:name="_Hlk522786848"/>
            <w:bookmarkEnd w:id="13"/>
          </w:p>
        </w:tc>
        <w:tc>
          <w:tcPr>
            <w:tcW w:w="1310" w:type="dxa"/>
            <w:shd w:val="clear" w:color="auto" w:fill="404040" w:themeFill="text1" w:themeFillTint="BF"/>
          </w:tcPr>
          <w:p w14:paraId="1CEA3911" w14:textId="77777777" w:rsidR="00D65B4A" w:rsidRPr="00445F0B" w:rsidRDefault="00D65B4A" w:rsidP="00B747E1">
            <w:pPr>
              <w:pStyle w:val="TableHeading"/>
            </w:pPr>
            <w:r w:rsidRPr="00445F0B">
              <w:t>ACMA planning decision</w:t>
            </w:r>
          </w:p>
        </w:tc>
        <w:tc>
          <w:tcPr>
            <w:tcW w:w="1302" w:type="dxa"/>
            <w:shd w:val="clear" w:color="auto" w:fill="404040" w:themeFill="text1" w:themeFillTint="BF"/>
          </w:tcPr>
          <w:p w14:paraId="609C0163" w14:textId="77777777" w:rsidR="00D65B4A" w:rsidRPr="00445F0B" w:rsidRDefault="00D65B4A" w:rsidP="00B747E1">
            <w:pPr>
              <w:pStyle w:val="TableHeading"/>
            </w:pPr>
            <w:r w:rsidRPr="00445F0B">
              <w:t>Minister decision where applicable</w:t>
            </w:r>
          </w:p>
        </w:tc>
        <w:tc>
          <w:tcPr>
            <w:tcW w:w="1538" w:type="dxa"/>
            <w:shd w:val="clear" w:color="auto" w:fill="404040" w:themeFill="text1" w:themeFillTint="BF"/>
          </w:tcPr>
          <w:p w14:paraId="5BEE265A" w14:textId="77777777" w:rsidR="00D65B4A" w:rsidRPr="00445F0B" w:rsidRDefault="00D65B4A" w:rsidP="00B747E1">
            <w:pPr>
              <w:pStyle w:val="TableHeading"/>
            </w:pPr>
            <w:r w:rsidRPr="00445F0B">
              <w:t>Auction</w:t>
            </w:r>
          </w:p>
        </w:tc>
        <w:tc>
          <w:tcPr>
            <w:tcW w:w="2416" w:type="dxa"/>
            <w:shd w:val="clear" w:color="auto" w:fill="404040" w:themeFill="text1" w:themeFillTint="BF"/>
          </w:tcPr>
          <w:p w14:paraId="5A424068" w14:textId="77777777" w:rsidR="00D65B4A" w:rsidRPr="00445F0B" w:rsidRDefault="00D65B4A" w:rsidP="00B747E1">
            <w:pPr>
              <w:pStyle w:val="TableHeading"/>
            </w:pPr>
            <w:r w:rsidRPr="00445F0B">
              <w:t>Notes</w:t>
            </w:r>
          </w:p>
        </w:tc>
      </w:tr>
      <w:tr w:rsidR="00D65B4A" w:rsidRPr="005759E7" w14:paraId="72EABB09" w14:textId="77777777" w:rsidTr="002E32BA">
        <w:tc>
          <w:tcPr>
            <w:tcW w:w="0" w:type="auto"/>
            <w:shd w:val="clear" w:color="auto" w:fill="auto"/>
          </w:tcPr>
          <w:p w14:paraId="364540C5" w14:textId="77777777" w:rsidR="00D65B4A" w:rsidRDefault="00D65B4A" w:rsidP="001B1B7A">
            <w:pPr>
              <w:keepNext/>
              <w:keepLines/>
              <w:spacing w:after="0"/>
              <w:rPr>
                <w:b/>
              </w:rPr>
            </w:pPr>
            <w:r>
              <w:rPr>
                <w:b/>
              </w:rPr>
              <w:t>3.6 GHz band</w:t>
            </w:r>
          </w:p>
        </w:tc>
        <w:tc>
          <w:tcPr>
            <w:tcW w:w="1310" w:type="dxa"/>
            <w:shd w:val="clear" w:color="auto" w:fill="auto"/>
          </w:tcPr>
          <w:p w14:paraId="19D285B5" w14:textId="77777777" w:rsidR="00D65B4A" w:rsidRDefault="00D65B4A" w:rsidP="001B1B7A">
            <w:pPr>
              <w:keepNext/>
              <w:keepLines/>
              <w:spacing w:after="0"/>
            </w:pPr>
            <w:r>
              <w:t xml:space="preserve">Q2 </w:t>
            </w:r>
            <w:r w:rsidR="000D38C1">
              <w:br/>
            </w:r>
            <w:r>
              <w:t>2017</w:t>
            </w:r>
            <w:r w:rsidR="008D2883">
              <w:t>–</w:t>
            </w:r>
            <w:r>
              <w:t>18</w:t>
            </w:r>
          </w:p>
        </w:tc>
        <w:tc>
          <w:tcPr>
            <w:tcW w:w="1302" w:type="dxa"/>
            <w:shd w:val="clear" w:color="auto" w:fill="auto"/>
          </w:tcPr>
          <w:p w14:paraId="3C6036D0" w14:textId="77777777" w:rsidR="00D65B4A" w:rsidRDefault="00D65B4A" w:rsidP="001B1B7A">
            <w:pPr>
              <w:keepNext/>
              <w:keepLines/>
              <w:spacing w:after="0"/>
            </w:pPr>
            <w:r>
              <w:t xml:space="preserve">Q3 </w:t>
            </w:r>
            <w:r w:rsidR="000D38C1">
              <w:br/>
            </w:r>
            <w:r>
              <w:t>2017</w:t>
            </w:r>
            <w:r w:rsidR="008D2883">
              <w:t>–</w:t>
            </w:r>
            <w:r>
              <w:t>18</w:t>
            </w:r>
          </w:p>
        </w:tc>
        <w:tc>
          <w:tcPr>
            <w:tcW w:w="1538" w:type="dxa"/>
            <w:shd w:val="clear" w:color="auto" w:fill="auto"/>
          </w:tcPr>
          <w:p w14:paraId="52239D08" w14:textId="77777777" w:rsidR="00D65B4A" w:rsidRDefault="00D65B4A" w:rsidP="001B1B7A">
            <w:pPr>
              <w:keepNext/>
              <w:keepLines/>
              <w:spacing w:after="0"/>
            </w:pPr>
            <w:r>
              <w:t xml:space="preserve">Q2 </w:t>
            </w:r>
            <w:r w:rsidR="000D38C1">
              <w:br/>
            </w:r>
            <w:r>
              <w:t>2018</w:t>
            </w:r>
            <w:r w:rsidR="008D2883">
              <w:t>–</w:t>
            </w:r>
            <w:r>
              <w:t>19</w:t>
            </w:r>
          </w:p>
        </w:tc>
        <w:tc>
          <w:tcPr>
            <w:tcW w:w="2416" w:type="dxa"/>
            <w:shd w:val="clear" w:color="auto" w:fill="auto"/>
          </w:tcPr>
          <w:p w14:paraId="3B4C2315" w14:textId="77777777" w:rsidR="00D65B4A" w:rsidRPr="005759E7" w:rsidRDefault="00D65B4A" w:rsidP="001B1B7A">
            <w:pPr>
              <w:keepNext/>
              <w:keepLines/>
              <w:spacing w:after="0"/>
            </w:pPr>
            <w:r>
              <w:t xml:space="preserve">Applications for this auction opened on </w:t>
            </w:r>
            <w:r w:rsidR="008D2883">
              <w:t>6 </w:t>
            </w:r>
            <w:r>
              <w:t>August 2018. The auction is expected to commence in late November 2018</w:t>
            </w:r>
          </w:p>
        </w:tc>
      </w:tr>
      <w:tr w:rsidR="00D65B4A" w:rsidRPr="005759E7" w14:paraId="5FEAFAC1" w14:textId="77777777" w:rsidTr="002E32BA">
        <w:tc>
          <w:tcPr>
            <w:tcW w:w="0" w:type="auto"/>
            <w:shd w:val="clear" w:color="auto" w:fill="F2F2F2" w:themeFill="background1" w:themeFillShade="F2"/>
          </w:tcPr>
          <w:p w14:paraId="32164361" w14:textId="77777777" w:rsidR="00D65B4A" w:rsidRPr="000F12F1" w:rsidRDefault="00D65B4A" w:rsidP="001B1B7A">
            <w:pPr>
              <w:keepNext/>
              <w:keepLines/>
              <w:spacing w:after="0"/>
              <w:rPr>
                <w:b/>
              </w:rPr>
            </w:pPr>
            <w:r w:rsidRPr="000F12F1">
              <w:rPr>
                <w:b/>
              </w:rPr>
              <w:t>26 GHz</w:t>
            </w:r>
          </w:p>
        </w:tc>
        <w:tc>
          <w:tcPr>
            <w:tcW w:w="1310" w:type="dxa"/>
            <w:shd w:val="clear" w:color="auto" w:fill="F2F2F2" w:themeFill="background1" w:themeFillShade="F2"/>
          </w:tcPr>
          <w:p w14:paraId="1B23A480" w14:textId="77777777" w:rsidR="00D65B4A" w:rsidRPr="00780282" w:rsidRDefault="00D65B4A" w:rsidP="001B1B7A">
            <w:pPr>
              <w:keepNext/>
              <w:keepLines/>
              <w:spacing w:after="0"/>
              <w:rPr>
                <w:highlight w:val="cyan"/>
              </w:rPr>
            </w:pPr>
            <w:r w:rsidRPr="00283D92">
              <w:t>Q</w:t>
            </w:r>
            <w:r>
              <w:t xml:space="preserve">3–4 </w:t>
            </w:r>
            <w:r w:rsidR="000D38C1">
              <w:br/>
            </w:r>
            <w:r w:rsidRPr="00283D92">
              <w:t>2018</w:t>
            </w:r>
            <w:r w:rsidR="000D38C1" w:rsidRPr="00A24446">
              <w:t>–</w:t>
            </w:r>
            <w:r w:rsidRPr="00283D92">
              <w:t>19</w:t>
            </w:r>
          </w:p>
        </w:tc>
        <w:tc>
          <w:tcPr>
            <w:tcW w:w="1302" w:type="dxa"/>
            <w:shd w:val="clear" w:color="auto" w:fill="F2F2F2" w:themeFill="background1" w:themeFillShade="F2"/>
          </w:tcPr>
          <w:p w14:paraId="416A882F" w14:textId="77777777" w:rsidR="00D65B4A" w:rsidRPr="00780282" w:rsidRDefault="00D65B4A" w:rsidP="001B1B7A">
            <w:pPr>
              <w:keepNext/>
              <w:keepLines/>
              <w:spacing w:after="0"/>
              <w:rPr>
                <w:highlight w:val="cyan"/>
              </w:rPr>
            </w:pPr>
            <w:r w:rsidRPr="00283D92">
              <w:t>Q</w:t>
            </w:r>
            <w:r>
              <w:t>1</w:t>
            </w:r>
            <w:r w:rsidRPr="00283D92">
              <w:t xml:space="preserve"> </w:t>
            </w:r>
            <w:r w:rsidR="000D38C1">
              <w:br/>
            </w:r>
            <w:r w:rsidRPr="00283D92">
              <w:t>201</w:t>
            </w:r>
            <w:r>
              <w:t>9</w:t>
            </w:r>
            <w:r w:rsidR="008D2883">
              <w:t>–</w:t>
            </w:r>
            <w:r>
              <w:t>20</w:t>
            </w:r>
            <w:r w:rsidRPr="00283D92">
              <w:t xml:space="preserve"> </w:t>
            </w:r>
          </w:p>
        </w:tc>
        <w:tc>
          <w:tcPr>
            <w:tcW w:w="1538" w:type="dxa"/>
            <w:shd w:val="clear" w:color="auto" w:fill="F2F2F2" w:themeFill="background1" w:themeFillShade="F2"/>
          </w:tcPr>
          <w:p w14:paraId="2EF74A11" w14:textId="77777777" w:rsidR="00D65B4A" w:rsidRDefault="00D65B4A" w:rsidP="001B1B7A">
            <w:pPr>
              <w:keepNext/>
              <w:keepLines/>
              <w:spacing w:after="0"/>
            </w:pPr>
            <w:r w:rsidDel="00290235">
              <w:t>Q1</w:t>
            </w:r>
            <w:r w:rsidR="008D2883">
              <w:t>–</w:t>
            </w:r>
            <w:r>
              <w:t xml:space="preserve">Q2 </w:t>
            </w:r>
            <w:r w:rsidR="000D38C1">
              <w:br/>
            </w:r>
            <w:r>
              <w:t>2020</w:t>
            </w:r>
            <w:r w:rsidR="008D2883">
              <w:t>–</w:t>
            </w:r>
            <w:r>
              <w:t>21</w:t>
            </w:r>
          </w:p>
        </w:tc>
        <w:tc>
          <w:tcPr>
            <w:tcW w:w="2416" w:type="dxa"/>
            <w:shd w:val="clear" w:color="auto" w:fill="F2F2F2" w:themeFill="background1" w:themeFillShade="F2"/>
          </w:tcPr>
          <w:p w14:paraId="5FE14398" w14:textId="77777777" w:rsidR="00D65B4A" w:rsidRPr="005759E7" w:rsidRDefault="00D65B4A" w:rsidP="001B1B7A">
            <w:pPr>
              <w:keepNext/>
              <w:keepLines/>
              <w:spacing w:after="0"/>
            </w:pPr>
            <w:r w:rsidRPr="005759E7">
              <w:t>May be allocated under new Act</w:t>
            </w:r>
          </w:p>
        </w:tc>
      </w:tr>
      <w:tr w:rsidR="00D65B4A" w:rsidRPr="00455D60" w14:paraId="16077746" w14:textId="77777777" w:rsidTr="002E32BA">
        <w:tc>
          <w:tcPr>
            <w:tcW w:w="0" w:type="auto"/>
            <w:shd w:val="clear" w:color="auto" w:fill="auto"/>
          </w:tcPr>
          <w:p w14:paraId="54A2A477" w14:textId="77777777" w:rsidR="00D65B4A" w:rsidRPr="000D38C1" w:rsidRDefault="00D65B4A" w:rsidP="00D65B4A">
            <w:pPr>
              <w:spacing w:after="0"/>
              <w:rPr>
                <w:b/>
              </w:rPr>
            </w:pPr>
            <w:r w:rsidRPr="000D38C1">
              <w:rPr>
                <w:b/>
              </w:rPr>
              <w:t>850/900 MHz</w:t>
            </w:r>
          </w:p>
        </w:tc>
        <w:tc>
          <w:tcPr>
            <w:tcW w:w="1310" w:type="dxa"/>
            <w:shd w:val="clear" w:color="auto" w:fill="auto"/>
          </w:tcPr>
          <w:p w14:paraId="7E8C47B6" w14:textId="77777777" w:rsidR="00D65B4A" w:rsidRPr="000D38C1" w:rsidRDefault="00D65B4A" w:rsidP="00D65B4A">
            <w:pPr>
              <w:spacing w:after="0"/>
            </w:pPr>
            <w:r w:rsidRPr="000D38C1">
              <w:t xml:space="preserve">Q2 </w:t>
            </w:r>
            <w:r w:rsidR="000D38C1">
              <w:br/>
            </w:r>
            <w:r w:rsidRPr="000D38C1">
              <w:t>2018–19*</w:t>
            </w:r>
          </w:p>
        </w:tc>
        <w:tc>
          <w:tcPr>
            <w:tcW w:w="1302" w:type="dxa"/>
            <w:shd w:val="clear" w:color="auto" w:fill="auto"/>
          </w:tcPr>
          <w:p w14:paraId="66A81331" w14:textId="5B3AF028" w:rsidR="00D65B4A" w:rsidRPr="000D38C1" w:rsidRDefault="00673277" w:rsidP="00D65B4A">
            <w:pPr>
              <w:spacing w:after="0"/>
            </w:pPr>
            <w:r w:rsidRPr="00673277">
              <w:t>Q1</w:t>
            </w:r>
            <w:r>
              <w:t>–</w:t>
            </w:r>
            <w:r w:rsidRPr="00673277">
              <w:t xml:space="preserve">2 </w:t>
            </w:r>
            <w:r>
              <w:br/>
            </w:r>
            <w:r w:rsidRPr="00673277">
              <w:t>2019</w:t>
            </w:r>
            <w:r>
              <w:t>–</w:t>
            </w:r>
            <w:r w:rsidRPr="00673277">
              <w:t>20”</w:t>
            </w:r>
          </w:p>
        </w:tc>
        <w:tc>
          <w:tcPr>
            <w:tcW w:w="1538" w:type="dxa"/>
            <w:shd w:val="clear" w:color="auto" w:fill="auto"/>
          </w:tcPr>
          <w:p w14:paraId="58F5253A" w14:textId="47279CA2" w:rsidR="00D65B4A" w:rsidRPr="000D38C1" w:rsidRDefault="00D65B4A" w:rsidP="00D65B4A">
            <w:pPr>
              <w:spacing w:after="0"/>
            </w:pPr>
            <w:r w:rsidRPr="000D38C1">
              <w:t>Q1</w:t>
            </w:r>
            <w:r w:rsidR="000D38C1">
              <w:t>–</w:t>
            </w:r>
            <w:r w:rsidRPr="000D38C1">
              <w:t xml:space="preserve">Q2 </w:t>
            </w:r>
            <w:r w:rsidR="000D38C1">
              <w:br/>
            </w:r>
            <w:r w:rsidRPr="000D38C1">
              <w:t>20</w:t>
            </w:r>
            <w:r w:rsidR="00673277">
              <w:t>20</w:t>
            </w:r>
            <w:r w:rsidR="000D38C1">
              <w:t>–</w:t>
            </w:r>
            <w:r w:rsidRPr="000D38C1">
              <w:t>2</w:t>
            </w:r>
            <w:r w:rsidR="00673277">
              <w:t>1</w:t>
            </w:r>
          </w:p>
        </w:tc>
        <w:tc>
          <w:tcPr>
            <w:tcW w:w="2416" w:type="dxa"/>
            <w:shd w:val="clear" w:color="auto" w:fill="auto"/>
          </w:tcPr>
          <w:p w14:paraId="4FA20786" w14:textId="77777777" w:rsidR="00D65B4A" w:rsidRPr="000D38C1" w:rsidRDefault="00D65B4A" w:rsidP="00D65B4A">
            <w:pPr>
              <w:spacing w:after="0"/>
            </w:pPr>
            <w:r w:rsidRPr="000D38C1">
              <w:t>May be allocated under new Act</w:t>
            </w:r>
          </w:p>
        </w:tc>
      </w:tr>
      <w:tr w:rsidR="00D65B4A" w:rsidRPr="001B420E" w14:paraId="73814561" w14:textId="77777777" w:rsidTr="002E32BA">
        <w:tc>
          <w:tcPr>
            <w:tcW w:w="0" w:type="auto"/>
            <w:shd w:val="clear" w:color="auto" w:fill="F2F2F2" w:themeFill="background1" w:themeFillShade="F2"/>
          </w:tcPr>
          <w:p w14:paraId="377778DE" w14:textId="77777777" w:rsidR="00D65B4A" w:rsidRPr="000D38C1" w:rsidRDefault="00D65B4A" w:rsidP="00D65B4A">
            <w:pPr>
              <w:spacing w:after="0"/>
              <w:rPr>
                <w:b/>
              </w:rPr>
            </w:pPr>
            <w:bookmarkStart w:id="16" w:name="_Hlk522785508"/>
            <w:r w:rsidRPr="000D38C1">
              <w:rPr>
                <w:b/>
              </w:rPr>
              <w:t>1.5 GHz</w:t>
            </w:r>
          </w:p>
        </w:tc>
        <w:tc>
          <w:tcPr>
            <w:tcW w:w="1310" w:type="dxa"/>
            <w:shd w:val="clear" w:color="auto" w:fill="F2F2F2" w:themeFill="background1" w:themeFillShade="F2"/>
          </w:tcPr>
          <w:p w14:paraId="7D64BE94" w14:textId="77777777" w:rsidR="00D65B4A" w:rsidRPr="000D38C1" w:rsidRDefault="00D65B4A" w:rsidP="00D65B4A">
            <w:pPr>
              <w:spacing w:after="0"/>
            </w:pPr>
            <w:r w:rsidRPr="000D38C1">
              <w:t>Q</w:t>
            </w:r>
            <w:r w:rsidR="00E2592E" w:rsidRPr="000D38C1">
              <w:t>3</w:t>
            </w:r>
            <w:r w:rsidR="000D38C1">
              <w:t>–</w:t>
            </w:r>
            <w:r w:rsidR="00E2592E" w:rsidRPr="000D38C1">
              <w:t>4</w:t>
            </w:r>
            <w:r w:rsidRPr="000D38C1">
              <w:t xml:space="preserve"> </w:t>
            </w:r>
            <w:r w:rsidR="000D38C1">
              <w:br/>
            </w:r>
            <w:r w:rsidRPr="000D38C1">
              <w:t>2019–20</w:t>
            </w:r>
          </w:p>
        </w:tc>
        <w:tc>
          <w:tcPr>
            <w:tcW w:w="1302" w:type="dxa"/>
            <w:shd w:val="clear" w:color="auto" w:fill="F2F2F2" w:themeFill="background1" w:themeFillShade="F2"/>
          </w:tcPr>
          <w:p w14:paraId="1CF01D1E" w14:textId="77777777" w:rsidR="00D65B4A" w:rsidRPr="000D38C1" w:rsidRDefault="00D65B4A" w:rsidP="00D65B4A">
            <w:pPr>
              <w:spacing w:after="0"/>
            </w:pPr>
            <w:r w:rsidRPr="000D38C1">
              <w:t>Q</w:t>
            </w:r>
            <w:r w:rsidR="00B30DBE" w:rsidRPr="000D38C1">
              <w:t>3</w:t>
            </w:r>
            <w:r w:rsidR="000D38C1">
              <w:t>–</w:t>
            </w:r>
            <w:r w:rsidR="00B30DBE" w:rsidRPr="000D38C1">
              <w:t>4</w:t>
            </w:r>
            <w:r w:rsidRPr="000D38C1">
              <w:t xml:space="preserve"> </w:t>
            </w:r>
            <w:r w:rsidR="000D38C1">
              <w:br/>
            </w:r>
            <w:r w:rsidRPr="000D38C1">
              <w:t>2019–20</w:t>
            </w:r>
          </w:p>
        </w:tc>
        <w:tc>
          <w:tcPr>
            <w:tcW w:w="1538" w:type="dxa"/>
            <w:shd w:val="clear" w:color="auto" w:fill="F2F2F2" w:themeFill="background1" w:themeFillShade="F2"/>
          </w:tcPr>
          <w:p w14:paraId="4299CA5C" w14:textId="77777777" w:rsidR="00D65B4A" w:rsidRPr="000D38C1" w:rsidRDefault="00D65B4A" w:rsidP="00D65B4A">
            <w:pPr>
              <w:spacing w:after="0"/>
            </w:pPr>
            <w:r w:rsidRPr="000D38C1">
              <w:t>Q3</w:t>
            </w:r>
            <w:r w:rsidR="000D38C1">
              <w:t>–</w:t>
            </w:r>
            <w:r w:rsidRPr="000D38C1">
              <w:t xml:space="preserve">4 </w:t>
            </w:r>
            <w:r w:rsidR="000D38C1">
              <w:br/>
            </w:r>
            <w:r w:rsidRPr="000D38C1">
              <w:t>2020–21</w:t>
            </w:r>
          </w:p>
        </w:tc>
        <w:tc>
          <w:tcPr>
            <w:tcW w:w="2416" w:type="dxa"/>
            <w:shd w:val="clear" w:color="auto" w:fill="F2F2F2" w:themeFill="background1" w:themeFillShade="F2"/>
          </w:tcPr>
          <w:p w14:paraId="20F509AF" w14:textId="77777777" w:rsidR="00D65B4A" w:rsidRPr="000D38C1" w:rsidRDefault="00D65B4A" w:rsidP="00D65B4A">
            <w:pPr>
              <w:spacing w:after="0"/>
            </w:pPr>
            <w:r w:rsidRPr="000D38C1">
              <w:t>May be allocated under new Act</w:t>
            </w:r>
            <w:r w:rsidRPr="000D38C1">
              <w:rPr>
                <w:strike/>
              </w:rPr>
              <w:t xml:space="preserve"> </w:t>
            </w:r>
          </w:p>
        </w:tc>
      </w:tr>
      <w:bookmarkEnd w:id="15"/>
      <w:bookmarkEnd w:id="16"/>
    </w:tbl>
    <w:p w14:paraId="414F8D07" w14:textId="77777777" w:rsidR="00CC1371" w:rsidRDefault="00CC1371" w:rsidP="00CC1371">
      <w:pPr>
        <w:rPr>
          <w:rFonts w:ascii="Calibri" w:eastAsiaTheme="minorHAnsi" w:hAnsi="Calibri" w:cs="Calibri"/>
          <w:sz w:val="22"/>
          <w:szCs w:val="22"/>
          <w:u w:val="single"/>
          <w:lang w:eastAsia="en-US"/>
        </w:rPr>
      </w:pPr>
    </w:p>
    <w:p w14:paraId="23E229E0" w14:textId="77777777" w:rsidR="00687376" w:rsidRDefault="00687376" w:rsidP="00B30DBE">
      <w:pPr>
        <w:pStyle w:val="Heading2"/>
      </w:pPr>
      <w:bookmarkStart w:id="17" w:name="_Toc522794071"/>
      <w:bookmarkStart w:id="18" w:name="_Toc524517077"/>
      <w:r>
        <w:t>Activities progressed since the draft FYSO release</w:t>
      </w:r>
      <w:bookmarkEnd w:id="17"/>
      <w:bookmarkEnd w:id="18"/>
    </w:p>
    <w:p w14:paraId="366D322B" w14:textId="77777777" w:rsidR="00967E70" w:rsidRDefault="00967E70" w:rsidP="001B1B7A">
      <w:pPr>
        <w:spacing w:after="80"/>
      </w:pPr>
      <w:r>
        <w:t>Since the draft 2018</w:t>
      </w:r>
      <w:r w:rsidR="000D38C1">
        <w:t>–</w:t>
      </w:r>
      <w:r>
        <w:t>22 FYSO was released, the ACMA has progressed the following activities:</w:t>
      </w:r>
    </w:p>
    <w:p w14:paraId="162A7384" w14:textId="286D7B99" w:rsidR="00F62040" w:rsidRPr="00B30DBE" w:rsidRDefault="00121A03" w:rsidP="00B30DBE">
      <w:pPr>
        <w:pStyle w:val="ListBullet"/>
      </w:pPr>
      <w:r>
        <w:t>made</w:t>
      </w:r>
      <w:r w:rsidRPr="00B30DBE">
        <w:t xml:space="preserve"> </w:t>
      </w:r>
      <w:r w:rsidR="00F62040" w:rsidRPr="00B30DBE">
        <w:t xml:space="preserve">the Radiocommunications (Low Interference Potential Devices) Class Licence </w:t>
      </w:r>
      <w:r w:rsidR="000D38C1">
        <w:t>v</w:t>
      </w:r>
      <w:r w:rsidR="00F62040" w:rsidRPr="00B30DBE">
        <w:t>ariation 2018 (no.1)</w:t>
      </w:r>
    </w:p>
    <w:p w14:paraId="759E44E6" w14:textId="44C50AB3" w:rsidR="00F62040" w:rsidRPr="00E74E18" w:rsidRDefault="00121A03" w:rsidP="00B30DBE">
      <w:pPr>
        <w:pStyle w:val="ListBullet"/>
      </w:pPr>
      <w:r>
        <w:t>c</w:t>
      </w:r>
      <w:r w:rsidR="00AC7A62">
        <w:t>onsulted on</w:t>
      </w:r>
      <w:r w:rsidR="00AC7A62" w:rsidRPr="00B30DBE">
        <w:t xml:space="preserve"> </w:t>
      </w:r>
      <w:r w:rsidR="00F62040" w:rsidRPr="00B30DBE">
        <w:t xml:space="preserve">the Coffs Harbour </w:t>
      </w:r>
      <w:r w:rsidR="005270FE" w:rsidRPr="001B1B7A">
        <w:rPr>
          <w:rFonts w:cs="Arial"/>
          <w:szCs w:val="20"/>
        </w:rPr>
        <w:t>Licence Area Plan</w:t>
      </w:r>
      <w:r w:rsidR="005270FE" w:rsidRPr="005759E7">
        <w:rPr>
          <w:rFonts w:cs="Arial"/>
          <w:szCs w:val="20"/>
        </w:rPr>
        <w:t xml:space="preserve"> </w:t>
      </w:r>
      <w:r w:rsidR="005270FE">
        <w:rPr>
          <w:rFonts w:cs="Arial"/>
          <w:szCs w:val="20"/>
        </w:rPr>
        <w:t>(</w:t>
      </w:r>
      <w:r w:rsidR="00F62040" w:rsidRPr="00B30DBE">
        <w:t>LAP</w:t>
      </w:r>
      <w:r w:rsidR="005270FE">
        <w:t>)</w:t>
      </w:r>
      <w:r w:rsidR="00F62040" w:rsidRPr="00B30DBE">
        <w:t xml:space="preserve"> variation</w:t>
      </w:r>
      <w:r w:rsidR="00D2553A">
        <w:t xml:space="preserve"> in </w:t>
      </w:r>
      <w:r w:rsidR="00AC7A62">
        <w:t>August</w:t>
      </w:r>
      <w:r w:rsidR="00D2553A">
        <w:t xml:space="preserve"> 2018</w:t>
      </w:r>
      <w:r w:rsidR="00E74E18">
        <w:t xml:space="preserve"> </w:t>
      </w:r>
      <w:r w:rsidR="00D2553A">
        <w:rPr>
          <w:bCs/>
        </w:rPr>
        <w:t xml:space="preserve"> </w:t>
      </w:r>
    </w:p>
    <w:p w14:paraId="53C6235D" w14:textId="7583A385" w:rsidR="00F62040" w:rsidRPr="00B30DBE" w:rsidRDefault="000D38C1" w:rsidP="00E74E18">
      <w:pPr>
        <w:pStyle w:val="ListBullet"/>
      </w:pPr>
      <w:r>
        <w:t>d</w:t>
      </w:r>
      <w:r w:rsidR="00F62040" w:rsidRPr="00B30DBE">
        <w:t>evelop</w:t>
      </w:r>
      <w:r w:rsidR="00121A03">
        <w:t xml:space="preserve">ed </w:t>
      </w:r>
      <w:r w:rsidR="00F62040" w:rsidRPr="00B30DBE">
        <w:t>the Radiocommunications (VHF Radiotelephone Equipment – Maritime Mobile Service) Standard 2018</w:t>
      </w:r>
      <w:r w:rsidR="00D2553A">
        <w:t xml:space="preserve"> for consultation in Q1 2018</w:t>
      </w:r>
      <w:r w:rsidR="00365525">
        <w:t>–</w:t>
      </w:r>
      <w:r w:rsidR="00D2553A">
        <w:t>19</w:t>
      </w:r>
      <w:r w:rsidR="00E74E18">
        <w:t xml:space="preserve"> </w:t>
      </w:r>
    </w:p>
    <w:p w14:paraId="734791B4" w14:textId="48DA7075" w:rsidR="00750502" w:rsidRDefault="000D38C1" w:rsidP="00750502">
      <w:pPr>
        <w:pStyle w:val="ListBullet"/>
      </w:pPr>
      <w:r>
        <w:t>p</w:t>
      </w:r>
      <w:r w:rsidR="00F62040" w:rsidRPr="00B30DBE">
        <w:t>ublish</w:t>
      </w:r>
      <w:r w:rsidR="00121A03">
        <w:t>ed</w:t>
      </w:r>
      <w:r w:rsidR="00F62040" w:rsidRPr="00B30DBE">
        <w:t xml:space="preserve"> a consultation paper on new approaches to amateur radio qualification arrangements</w:t>
      </w:r>
    </w:p>
    <w:p w14:paraId="1BADAE50" w14:textId="02542F74" w:rsidR="00CC1371" w:rsidRDefault="000D38C1" w:rsidP="00750502">
      <w:pPr>
        <w:pStyle w:val="ListBullet"/>
      </w:pPr>
      <w:r>
        <w:t>p</w:t>
      </w:r>
      <w:r w:rsidR="00F62040" w:rsidRPr="00B30DBE">
        <w:t>ublish</w:t>
      </w:r>
      <w:r w:rsidR="00121A03">
        <w:t>ed</w:t>
      </w:r>
      <w:r w:rsidR="00F62040" w:rsidRPr="00B30DBE">
        <w:t xml:space="preserve"> the application package for the 3.6 GHz auction to commence in late November 2018</w:t>
      </w:r>
    </w:p>
    <w:p w14:paraId="268ACB46" w14:textId="18C2D21F" w:rsidR="00121A03" w:rsidRDefault="00121A03" w:rsidP="00233921">
      <w:pPr>
        <w:pStyle w:val="ListBullet"/>
      </w:pPr>
      <w:r>
        <w:t>extended</w:t>
      </w:r>
      <w:r w:rsidRPr="00DF0E95">
        <w:t xml:space="preserve"> the determination of the low power open narrowcasting (LPON) sub-band</w:t>
      </w:r>
      <w:r>
        <w:t xml:space="preserve"> to 31 December 2025 in September 2018</w:t>
      </w:r>
    </w:p>
    <w:p w14:paraId="0503AD3B" w14:textId="25E0FE00" w:rsidR="00A41F77" w:rsidRDefault="00A41F77" w:rsidP="00365525">
      <w:pPr>
        <w:pStyle w:val="ListBulletLast"/>
      </w:pPr>
      <w:r>
        <w:t>approved the AM to FM conversion for 2BS Bathurst, NSW.</w:t>
      </w:r>
    </w:p>
    <w:p w14:paraId="33D16BD0" w14:textId="5CA9EA77" w:rsidR="002E757B" w:rsidRDefault="002E757B" w:rsidP="00921A28">
      <w:pPr>
        <w:pStyle w:val="Heading2"/>
      </w:pPr>
      <w:bookmarkStart w:id="19" w:name="_Hlk524690029"/>
      <w:r>
        <w:t xml:space="preserve">Correction </w:t>
      </w:r>
    </w:p>
    <w:bookmarkEnd w:id="19"/>
    <w:p w14:paraId="30ADA3D0" w14:textId="4B85BD5B" w:rsidR="002E757B" w:rsidRDefault="002E757B" w:rsidP="00921A28">
      <w:pPr>
        <w:spacing w:after="80"/>
      </w:pPr>
      <w:r>
        <w:t xml:space="preserve">On 14 September 2018, the ACMA corrected a typographical error regarding the minister’s decision date on the potential timing of allocations for the 850/900 MHz band to Q1–2 2019–20 </w:t>
      </w:r>
      <w:r w:rsidR="003428B2">
        <w:t>i</w:t>
      </w:r>
      <w:r>
        <w:t>n the following tables:</w:t>
      </w:r>
    </w:p>
    <w:p w14:paraId="1072252D" w14:textId="3FC59D5C" w:rsidR="002E757B" w:rsidRDefault="002E757B" w:rsidP="00921A28">
      <w:pPr>
        <w:pStyle w:val="ListBullet"/>
      </w:pPr>
      <w:r>
        <w:t>Potential timing of allocations table</w:t>
      </w:r>
    </w:p>
    <w:p w14:paraId="0608F52F" w14:textId="27C1D221" w:rsidR="002E757B" w:rsidRDefault="002E757B" w:rsidP="00921A28">
      <w:pPr>
        <w:pStyle w:val="ListBullet"/>
      </w:pPr>
      <w:r>
        <w:t>Table 3: Major price-based allocations</w:t>
      </w:r>
    </w:p>
    <w:p w14:paraId="437CFFB2" w14:textId="0D932410" w:rsidR="002E757B" w:rsidRDefault="002E757B" w:rsidP="00921A28">
      <w:pPr>
        <w:pStyle w:val="ListBullet"/>
      </w:pPr>
      <w:r>
        <w:t>Table 16: Potential timing of allocations</w:t>
      </w:r>
      <w:r w:rsidR="003428B2">
        <w:t>.</w:t>
      </w:r>
    </w:p>
    <w:p w14:paraId="7104F9B8" w14:textId="77777777" w:rsidR="009116B7" w:rsidRPr="006D46E5" w:rsidRDefault="003F692F" w:rsidP="00B72C4A">
      <w:pPr>
        <w:pStyle w:val="Heading1"/>
      </w:pPr>
      <w:bookmarkStart w:id="20" w:name="_Toc348105635"/>
      <w:bookmarkStart w:id="21" w:name="_Toc442879668"/>
      <w:bookmarkStart w:id="22" w:name="_Toc510795063"/>
      <w:bookmarkStart w:id="23" w:name="_Toc511716264"/>
      <w:bookmarkStart w:id="24" w:name="_Toc511719075"/>
      <w:bookmarkStart w:id="25" w:name="_Toc522794072"/>
      <w:bookmarkStart w:id="26" w:name="_Toc524517078"/>
      <w:r>
        <w:lastRenderedPageBreak/>
        <w:t>At a glance</w:t>
      </w:r>
      <w:r w:rsidR="001801F4" w:rsidRPr="005759E7">
        <w:t>—</w:t>
      </w:r>
      <w:r w:rsidR="009116B7">
        <w:t>2018</w:t>
      </w:r>
      <w:r w:rsidR="001801F4">
        <w:t>–</w:t>
      </w:r>
      <w:r w:rsidR="009116B7">
        <w:t xml:space="preserve">19 </w:t>
      </w:r>
      <w:r w:rsidR="001801F4">
        <w:t>w</w:t>
      </w:r>
      <w:r w:rsidR="009116B7">
        <w:t>ork program</w:t>
      </w:r>
      <w:bookmarkEnd w:id="20"/>
      <w:bookmarkEnd w:id="21"/>
      <w:bookmarkEnd w:id="22"/>
      <w:bookmarkEnd w:id="23"/>
      <w:bookmarkEnd w:id="24"/>
      <w:bookmarkEnd w:id="25"/>
      <w:bookmarkEnd w:id="26"/>
    </w:p>
    <w:p w14:paraId="66ECECB2" w14:textId="77777777" w:rsidR="009116B7" w:rsidRDefault="009116B7" w:rsidP="0027128C">
      <w:pPr>
        <w:rPr>
          <w:rFonts w:cs="Arial"/>
        </w:rPr>
      </w:pPr>
      <w:r>
        <w:rPr>
          <w:rFonts w:cs="Arial"/>
        </w:rPr>
        <w:t>Here are the key activities proposed for 2018</w:t>
      </w:r>
      <w:r w:rsidR="001801F4">
        <w:rPr>
          <w:rFonts w:cs="Arial"/>
        </w:rPr>
        <w:t>–</w:t>
      </w:r>
      <w:r>
        <w:rPr>
          <w:rFonts w:cs="Arial"/>
        </w:rPr>
        <w:t xml:space="preserve">19. </w:t>
      </w:r>
      <w:r w:rsidR="007D4950">
        <w:rPr>
          <w:rFonts w:cs="Arial"/>
        </w:rPr>
        <w:t xml:space="preserve">Note timing may be affected by progression on other projects. </w:t>
      </w:r>
      <w:r>
        <w:rPr>
          <w:rFonts w:cs="Arial"/>
        </w:rPr>
        <w:t>Opportunities for consultation and engagement with the ACMA are highlighted in the timelines to provide stakeholders with information for their planning purposes.</w:t>
      </w:r>
      <w:r w:rsidR="003A4986">
        <w:rPr>
          <w:rFonts w:cs="Arial"/>
        </w:rPr>
        <w:t xml:space="preserve"> Planned ACMA spectrum consultations for 2018</w:t>
      </w:r>
      <w:r w:rsidR="000D38C1">
        <w:rPr>
          <w:rFonts w:cs="Arial"/>
        </w:rPr>
        <w:t>–</w:t>
      </w:r>
      <w:r w:rsidR="003A4986">
        <w:rPr>
          <w:rFonts w:cs="Arial"/>
        </w:rPr>
        <w:t xml:space="preserve">19 are also listed below. </w:t>
      </w:r>
    </w:p>
    <w:p w14:paraId="2A415563" w14:textId="77777777" w:rsidR="00CC0240" w:rsidRDefault="00CC0240" w:rsidP="00CC0240">
      <w:pPr>
        <w:spacing w:after="80"/>
      </w:pPr>
      <w:r w:rsidRPr="00125FC9">
        <w:t>Please note that</w:t>
      </w:r>
      <w:r>
        <w:t xml:space="preserve"> the </w:t>
      </w:r>
      <w:r w:rsidRPr="00125FC9">
        <w:t>following abbreviations</w:t>
      </w:r>
      <w:r>
        <w:t xml:space="preserve"> are used throughout:</w:t>
      </w:r>
    </w:p>
    <w:p w14:paraId="27757FF2" w14:textId="77777777" w:rsidR="00CC0240" w:rsidRPr="00CC0240" w:rsidRDefault="00CC0240" w:rsidP="00CC0240">
      <w:pPr>
        <w:pStyle w:val="ListBullet"/>
      </w:pPr>
      <w:r>
        <w:t>Quarter 1 (</w:t>
      </w:r>
      <w:r w:rsidRPr="00CC0240">
        <w:t>Q1): 1 July – 30 September</w:t>
      </w:r>
    </w:p>
    <w:p w14:paraId="61BA3D9B" w14:textId="77777777" w:rsidR="00CC0240" w:rsidRPr="00CC0240" w:rsidRDefault="00CC0240" w:rsidP="00CC0240">
      <w:pPr>
        <w:pStyle w:val="ListBullet"/>
      </w:pPr>
      <w:r w:rsidRPr="00CC0240">
        <w:t>Quarter 2 (Q2): 1 October – 31 December</w:t>
      </w:r>
    </w:p>
    <w:p w14:paraId="40DA4338" w14:textId="77777777" w:rsidR="00CC0240" w:rsidRPr="00CC0240" w:rsidRDefault="00CC0240" w:rsidP="00CC0240">
      <w:pPr>
        <w:pStyle w:val="ListBullet"/>
      </w:pPr>
      <w:r w:rsidRPr="00CC0240">
        <w:t>Quarter 3 (Q3): 1 January – 31 March</w:t>
      </w:r>
    </w:p>
    <w:p w14:paraId="10518201" w14:textId="77777777" w:rsidR="00CC0240" w:rsidRPr="00CC0240" w:rsidRDefault="00CC0240" w:rsidP="005759E7">
      <w:pPr>
        <w:pStyle w:val="ListBulletLast"/>
      </w:pPr>
      <w:r>
        <w:t>Quarter 4 (Q4): 1 April – 30 June.</w:t>
      </w:r>
    </w:p>
    <w:p w14:paraId="21F51EDB" w14:textId="77777777" w:rsidR="009116B7" w:rsidRPr="00F57787" w:rsidRDefault="009116B7" w:rsidP="000D38C1">
      <w:pPr>
        <w:pStyle w:val="ACMATableHeader"/>
      </w:pPr>
      <w:r w:rsidRPr="000D38C1">
        <w:t>Planning</w:t>
      </w:r>
      <w:r w:rsidR="001801F4" w:rsidRPr="00F57787">
        <w:t>—</w:t>
      </w:r>
      <w:r w:rsidRPr="00F57787">
        <w:t>establishing new planning 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685"/>
        <w:gridCol w:w="2406"/>
        <w:gridCol w:w="3570"/>
      </w:tblGrid>
      <w:tr w:rsidR="009116B7" w:rsidRPr="006D46E5" w14:paraId="5120AD78" w14:textId="77777777" w:rsidTr="0037046B">
        <w:trPr>
          <w:cantSplit/>
          <w:tblHeader/>
        </w:trPr>
        <w:tc>
          <w:tcPr>
            <w:tcW w:w="1100" w:type="pct"/>
            <w:shd w:val="clear" w:color="auto" w:fill="404040" w:themeFill="text1" w:themeFillTint="BF"/>
          </w:tcPr>
          <w:p w14:paraId="53AD7DC4" w14:textId="77777777" w:rsidR="009116B7" w:rsidRDefault="009116B7" w:rsidP="00B747E1">
            <w:pPr>
              <w:pStyle w:val="TableHeading"/>
            </w:pPr>
            <w:r>
              <w:t>Planning stage</w:t>
            </w:r>
          </w:p>
        </w:tc>
        <w:tc>
          <w:tcPr>
            <w:tcW w:w="1570" w:type="pct"/>
            <w:shd w:val="clear" w:color="auto" w:fill="404040" w:themeFill="text1" w:themeFillTint="BF"/>
          </w:tcPr>
          <w:p w14:paraId="41BEA99C" w14:textId="77777777" w:rsidR="009116B7" w:rsidRPr="006D46E5" w:rsidRDefault="009116B7" w:rsidP="00B747E1">
            <w:pPr>
              <w:pStyle w:val="TableHeading"/>
            </w:pPr>
            <w:r>
              <w:t>Project priorities</w:t>
            </w:r>
          </w:p>
        </w:tc>
        <w:tc>
          <w:tcPr>
            <w:tcW w:w="2330" w:type="pct"/>
            <w:shd w:val="clear" w:color="auto" w:fill="404040" w:themeFill="text1" w:themeFillTint="BF"/>
          </w:tcPr>
          <w:p w14:paraId="4A7DA49B" w14:textId="77777777" w:rsidR="009116B7" w:rsidRPr="006D46E5" w:rsidRDefault="009116B7" w:rsidP="00B747E1">
            <w:pPr>
              <w:pStyle w:val="TableHeading"/>
            </w:pPr>
            <w:r>
              <w:t>Proposed timelines</w:t>
            </w:r>
          </w:p>
        </w:tc>
      </w:tr>
      <w:tr w:rsidR="009116B7" w:rsidRPr="006D46E5" w14:paraId="0E14C2F5" w14:textId="77777777" w:rsidTr="005423CD">
        <w:tc>
          <w:tcPr>
            <w:tcW w:w="1100" w:type="pct"/>
          </w:tcPr>
          <w:p w14:paraId="6DABA24B"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Monitoring</w:t>
            </w:r>
          </w:p>
        </w:tc>
        <w:tc>
          <w:tcPr>
            <w:tcW w:w="1570" w:type="pct"/>
          </w:tcPr>
          <w:p w14:paraId="6C7DFEF2"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600 MHz (617</w:t>
            </w:r>
            <w:r w:rsidR="00C94652" w:rsidRPr="005759E7">
              <w:rPr>
                <w:rFonts w:cs="Arial"/>
                <w:szCs w:val="20"/>
              </w:rPr>
              <w:t>–</w:t>
            </w:r>
            <w:r w:rsidRPr="005759E7">
              <w:rPr>
                <w:rFonts w:cs="Arial"/>
                <w:szCs w:val="20"/>
              </w:rPr>
              <w:t>698)</w:t>
            </w:r>
          </w:p>
          <w:p w14:paraId="38AA72BD"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3.3 GHz (3300</w:t>
            </w:r>
            <w:r w:rsidR="00C94652" w:rsidRPr="005759E7">
              <w:rPr>
                <w:rFonts w:cs="Arial"/>
                <w:szCs w:val="20"/>
              </w:rPr>
              <w:t>–</w:t>
            </w:r>
            <w:r w:rsidRPr="005759E7">
              <w:rPr>
                <w:rFonts w:cs="Arial"/>
                <w:szCs w:val="20"/>
              </w:rPr>
              <w:t>3400)</w:t>
            </w:r>
          </w:p>
          <w:p w14:paraId="7E009AFE"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4.5 G</w:t>
            </w:r>
            <w:r w:rsidR="00786A4A">
              <w:rPr>
                <w:rFonts w:cs="Arial"/>
                <w:szCs w:val="20"/>
              </w:rPr>
              <w:t>H</w:t>
            </w:r>
            <w:r w:rsidRPr="005759E7">
              <w:rPr>
                <w:rFonts w:cs="Arial"/>
                <w:szCs w:val="20"/>
              </w:rPr>
              <w:t>z (4400</w:t>
            </w:r>
            <w:r w:rsidR="00C94652" w:rsidRPr="005759E7">
              <w:rPr>
                <w:rFonts w:cs="Arial"/>
                <w:szCs w:val="20"/>
              </w:rPr>
              <w:t>–</w:t>
            </w:r>
            <w:r w:rsidRPr="005759E7">
              <w:rPr>
                <w:rFonts w:cs="Arial"/>
                <w:szCs w:val="20"/>
              </w:rPr>
              <w:t>4500)</w:t>
            </w:r>
          </w:p>
          <w:p w14:paraId="7846F669" w14:textId="77777777" w:rsidR="00D87E10" w:rsidRDefault="009116B7" w:rsidP="001C517F">
            <w:pPr>
              <w:pStyle w:val="TableBody"/>
              <w:spacing w:after="120" w:line="240" w:lineRule="atLeast"/>
              <w:mirrorIndents/>
              <w:rPr>
                <w:rFonts w:cs="Arial"/>
                <w:szCs w:val="20"/>
              </w:rPr>
            </w:pPr>
            <w:r w:rsidRPr="005759E7">
              <w:rPr>
                <w:rFonts w:cs="Arial"/>
                <w:szCs w:val="20"/>
              </w:rPr>
              <w:t>4.8 GHz (4800</w:t>
            </w:r>
            <w:r w:rsidR="00C94652" w:rsidRPr="005759E7">
              <w:rPr>
                <w:rFonts w:cs="Arial"/>
                <w:szCs w:val="20"/>
              </w:rPr>
              <w:t>–</w:t>
            </w:r>
            <w:r w:rsidRPr="005759E7">
              <w:rPr>
                <w:rFonts w:cs="Arial"/>
                <w:szCs w:val="20"/>
              </w:rPr>
              <w:t>4990)</w:t>
            </w:r>
            <w:r w:rsidR="00D87E10">
              <w:rPr>
                <w:rFonts w:cs="Arial"/>
                <w:szCs w:val="20"/>
              </w:rPr>
              <w:t xml:space="preserve"> </w:t>
            </w:r>
          </w:p>
          <w:p w14:paraId="556808F6" w14:textId="77777777" w:rsidR="00D87E10" w:rsidRDefault="009116B7" w:rsidP="001C517F">
            <w:pPr>
              <w:pStyle w:val="TableBody"/>
              <w:spacing w:after="120" w:line="240" w:lineRule="atLeast"/>
              <w:mirrorIndents/>
              <w:rPr>
                <w:rFonts w:cs="Arial"/>
                <w:szCs w:val="20"/>
              </w:rPr>
            </w:pPr>
            <w:r w:rsidRPr="005759E7">
              <w:rPr>
                <w:rFonts w:cs="Arial"/>
                <w:szCs w:val="20"/>
              </w:rPr>
              <w:t>Bands under study at WRC-19 agenda items 1.16 and 1.13</w:t>
            </w:r>
          </w:p>
          <w:p w14:paraId="132CB816" w14:textId="77777777" w:rsidR="00D87E10" w:rsidRDefault="009116B7" w:rsidP="001C517F">
            <w:pPr>
              <w:pStyle w:val="TableBody"/>
              <w:spacing w:after="120" w:line="240" w:lineRule="atLeast"/>
              <w:mirrorIndents/>
              <w:rPr>
                <w:rFonts w:cs="Arial"/>
                <w:szCs w:val="20"/>
              </w:rPr>
            </w:pPr>
            <w:r w:rsidRPr="005759E7">
              <w:rPr>
                <w:rFonts w:cs="Arial"/>
                <w:szCs w:val="20"/>
              </w:rPr>
              <w:t>5G bands considered internationally other than under WRC-19 1.13</w:t>
            </w:r>
          </w:p>
          <w:p w14:paraId="359EDAFE" w14:textId="77777777" w:rsidR="002F643C" w:rsidRPr="005759E7" w:rsidRDefault="00842CA1" w:rsidP="00D87E10">
            <w:pPr>
              <w:pStyle w:val="TableBody"/>
              <w:spacing w:before="100" w:beforeAutospacing="1" w:after="100" w:afterAutospacing="1" w:line="240" w:lineRule="atLeast"/>
              <w:contextualSpacing/>
              <w:mirrorIndents/>
              <w:rPr>
                <w:rFonts w:cs="Arial"/>
                <w:szCs w:val="20"/>
              </w:rPr>
            </w:pPr>
            <w:r w:rsidRPr="005759E7">
              <w:rPr>
                <w:rFonts w:cs="Arial"/>
                <w:szCs w:val="20"/>
              </w:rPr>
              <w:t>40</w:t>
            </w:r>
            <w:r w:rsidR="00C94652" w:rsidRPr="005759E7">
              <w:rPr>
                <w:rFonts w:cs="Arial"/>
                <w:szCs w:val="20"/>
              </w:rPr>
              <w:t>–</w:t>
            </w:r>
            <w:r w:rsidRPr="005759E7">
              <w:rPr>
                <w:rFonts w:cs="Arial"/>
                <w:szCs w:val="20"/>
              </w:rPr>
              <w:t xml:space="preserve">50 GHz </w:t>
            </w:r>
          </w:p>
        </w:tc>
        <w:tc>
          <w:tcPr>
            <w:tcW w:w="2330" w:type="pct"/>
          </w:tcPr>
          <w:p w14:paraId="2A440230" w14:textId="77777777" w:rsidR="009116B7" w:rsidRPr="005759E7" w:rsidRDefault="00F5778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Continue to</w:t>
            </w:r>
            <w:r w:rsidR="009116B7" w:rsidRPr="005759E7">
              <w:rPr>
                <w:rFonts w:cs="Arial"/>
                <w:szCs w:val="20"/>
              </w:rPr>
              <w:t xml:space="preserve"> monitor domestic and international developments in these bands to identify usage trends</w:t>
            </w:r>
          </w:p>
        </w:tc>
      </w:tr>
      <w:tr w:rsidR="009116B7" w:rsidRPr="006D46E5" w14:paraId="19930C05" w14:textId="77777777" w:rsidTr="005423CD">
        <w:tc>
          <w:tcPr>
            <w:tcW w:w="1100" w:type="pct"/>
            <w:shd w:val="clear" w:color="auto" w:fill="F2F2F2" w:themeFill="background1" w:themeFillShade="F2"/>
          </w:tcPr>
          <w:p w14:paraId="4D87EA79" w14:textId="77777777" w:rsidR="009116B7" w:rsidRPr="005759E7" w:rsidRDefault="009116B7" w:rsidP="00D10280">
            <w:pPr>
              <w:pStyle w:val="TableBody"/>
              <w:spacing w:before="100" w:beforeAutospacing="1" w:after="100" w:afterAutospacing="1" w:line="240" w:lineRule="atLeast"/>
              <w:contextualSpacing/>
              <w:mirrorIndents/>
              <w:rPr>
                <w:rFonts w:cs="Arial"/>
                <w:szCs w:val="20"/>
              </w:rPr>
            </w:pPr>
            <w:r w:rsidRPr="005759E7">
              <w:rPr>
                <w:rFonts w:cs="Arial"/>
                <w:szCs w:val="20"/>
              </w:rPr>
              <w:t>Initial investigation</w:t>
            </w:r>
          </w:p>
        </w:tc>
        <w:tc>
          <w:tcPr>
            <w:tcW w:w="1570" w:type="pct"/>
            <w:shd w:val="clear" w:color="auto" w:fill="F2F2F2" w:themeFill="background1" w:themeFillShade="F2"/>
          </w:tcPr>
          <w:p w14:paraId="723B0A02" w14:textId="77777777" w:rsidR="00AE6453" w:rsidRPr="005759E7" w:rsidRDefault="009116B7" w:rsidP="001C517F">
            <w:pPr>
              <w:pStyle w:val="TableBody"/>
              <w:spacing w:after="120" w:line="240" w:lineRule="atLeast"/>
              <w:mirrorIndents/>
              <w:rPr>
                <w:rFonts w:cs="Arial"/>
                <w:szCs w:val="20"/>
              </w:rPr>
            </w:pPr>
            <w:r w:rsidRPr="005759E7">
              <w:rPr>
                <w:rFonts w:cs="Arial"/>
                <w:szCs w:val="20"/>
              </w:rPr>
              <w:t>2</w:t>
            </w:r>
            <w:r w:rsidR="00A403B2">
              <w:rPr>
                <w:rFonts w:cs="Arial"/>
                <w:szCs w:val="20"/>
              </w:rPr>
              <w:t xml:space="preserve"> </w:t>
            </w:r>
            <w:r w:rsidRPr="005759E7">
              <w:rPr>
                <w:rFonts w:cs="Arial"/>
                <w:szCs w:val="20"/>
              </w:rPr>
              <w:t>GHz (1980</w:t>
            </w:r>
            <w:r w:rsidR="00C94652" w:rsidRPr="005759E7">
              <w:rPr>
                <w:rFonts w:cs="Arial"/>
                <w:szCs w:val="20"/>
              </w:rPr>
              <w:t>–</w:t>
            </w:r>
            <w:r w:rsidRPr="005759E7">
              <w:rPr>
                <w:rFonts w:cs="Arial"/>
                <w:szCs w:val="20"/>
              </w:rPr>
              <w:t>2010 and 2170</w:t>
            </w:r>
            <w:r w:rsidR="00C94652" w:rsidRPr="005759E7">
              <w:rPr>
                <w:rFonts w:cs="Arial"/>
                <w:szCs w:val="20"/>
              </w:rPr>
              <w:t>–</w:t>
            </w:r>
            <w:r w:rsidRPr="005759E7">
              <w:rPr>
                <w:rFonts w:cs="Arial"/>
                <w:szCs w:val="20"/>
              </w:rPr>
              <w:t>2200 MHz)</w:t>
            </w:r>
          </w:p>
          <w:p w14:paraId="5DFBD7B3" w14:textId="77777777" w:rsidR="00745A90" w:rsidRPr="005270FE" w:rsidRDefault="005B2A6D" w:rsidP="001C517F">
            <w:pPr>
              <w:pStyle w:val="TableBody"/>
              <w:spacing w:after="120" w:line="240" w:lineRule="atLeast"/>
              <w:mirrorIndents/>
              <w:rPr>
                <w:rFonts w:cs="Arial"/>
                <w:szCs w:val="20"/>
              </w:rPr>
            </w:pPr>
            <w:r w:rsidRPr="001C517F">
              <w:rPr>
                <w:rFonts w:cs="Arial"/>
                <w:noProof/>
                <w:szCs w:val="20"/>
              </w:rPr>
              <w:drawing>
                <wp:inline distT="0" distB="0" distL="0" distR="0" wp14:anchorId="1CBCB8C3" wp14:editId="0F08C49E">
                  <wp:extent cx="205740" cy="147955"/>
                  <wp:effectExtent l="0" t="0" r="3810" b="4445"/>
                  <wp:docPr id="2" name="Picture 2"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r Linda_not final.PNG"/>
                          <pic:cNvPicPr/>
                        </pic:nvPicPr>
                        <pic:blipFill>
                          <a:blip r:embed="rId25"/>
                          <a:stretch>
                            <a:fillRect/>
                          </a:stretch>
                        </pic:blipFill>
                        <pic:spPr>
                          <a:xfrm>
                            <a:off x="0" y="0"/>
                            <a:ext cx="205740" cy="147955"/>
                          </a:xfrm>
                          <a:prstGeom prst="rect">
                            <a:avLst/>
                          </a:prstGeom>
                        </pic:spPr>
                      </pic:pic>
                    </a:graphicData>
                  </a:graphic>
                </wp:inline>
              </w:drawing>
            </w:r>
            <w:r w:rsidR="00746F0C">
              <w:rPr>
                <w:rFonts w:cs="Arial"/>
                <w:szCs w:val="20"/>
              </w:rPr>
              <w:t xml:space="preserve"> </w:t>
            </w:r>
            <w:r w:rsidR="00745A90" w:rsidRPr="005270FE">
              <w:rPr>
                <w:rFonts w:cs="Arial"/>
                <w:szCs w:val="20"/>
              </w:rPr>
              <w:t xml:space="preserve">3.8 GHz </w:t>
            </w:r>
            <w:r w:rsidR="005270FE">
              <w:rPr>
                <w:rFonts w:cs="Arial"/>
                <w:szCs w:val="20"/>
              </w:rPr>
              <w:br/>
            </w:r>
            <w:r w:rsidR="00745A90" w:rsidRPr="005270FE">
              <w:rPr>
                <w:rFonts w:cs="Arial"/>
                <w:szCs w:val="20"/>
              </w:rPr>
              <w:t>(3700–4200)</w:t>
            </w:r>
          </w:p>
          <w:p w14:paraId="218EDA4D" w14:textId="77777777" w:rsidR="00D10280" w:rsidRDefault="009116B7" w:rsidP="001C517F">
            <w:pPr>
              <w:pStyle w:val="TableBody"/>
              <w:spacing w:after="120" w:line="240" w:lineRule="atLeast"/>
              <w:mirrorIndents/>
              <w:rPr>
                <w:rFonts w:cs="Arial"/>
                <w:szCs w:val="20"/>
              </w:rPr>
            </w:pPr>
            <w:r w:rsidRPr="001C517F">
              <w:rPr>
                <w:rFonts w:cs="Arial"/>
                <w:szCs w:val="20"/>
              </w:rPr>
              <w:t xml:space="preserve">28 GHz </w:t>
            </w:r>
            <w:r w:rsidR="009C1F69" w:rsidRPr="001C517F">
              <w:rPr>
                <w:rFonts w:cs="Arial"/>
                <w:szCs w:val="20"/>
              </w:rPr>
              <w:br/>
            </w:r>
            <w:r w:rsidRPr="001C517F">
              <w:rPr>
                <w:rFonts w:cs="Arial"/>
                <w:szCs w:val="20"/>
              </w:rPr>
              <w:t>(27.5</w:t>
            </w:r>
            <w:r w:rsidR="00C94652" w:rsidRPr="001C517F">
              <w:rPr>
                <w:rFonts w:cs="Arial"/>
                <w:szCs w:val="20"/>
              </w:rPr>
              <w:t>–</w:t>
            </w:r>
            <w:r w:rsidRPr="001C517F">
              <w:rPr>
                <w:rFonts w:cs="Arial"/>
                <w:szCs w:val="20"/>
              </w:rPr>
              <w:t>29.5</w:t>
            </w:r>
            <w:r w:rsidR="00786A4A" w:rsidRPr="001C517F">
              <w:rPr>
                <w:rFonts w:cs="Arial"/>
                <w:szCs w:val="20"/>
              </w:rPr>
              <w:t> </w:t>
            </w:r>
            <w:r w:rsidRPr="001C517F">
              <w:rPr>
                <w:rFonts w:cs="Arial"/>
                <w:szCs w:val="20"/>
              </w:rPr>
              <w:t>GHz)</w:t>
            </w:r>
          </w:p>
          <w:p w14:paraId="00598183" w14:textId="77777777" w:rsidR="009116B7" w:rsidRPr="005759E7" w:rsidRDefault="00842CA1" w:rsidP="001C517F">
            <w:pPr>
              <w:pStyle w:val="TableBody"/>
              <w:spacing w:after="120" w:line="240" w:lineRule="atLeast"/>
              <w:mirrorIndents/>
              <w:rPr>
                <w:rFonts w:cs="Arial"/>
                <w:szCs w:val="20"/>
              </w:rPr>
            </w:pPr>
            <w:r w:rsidRPr="005759E7">
              <w:rPr>
                <w:szCs w:val="20"/>
              </w:rPr>
              <w:t>Extended MSS L</w:t>
            </w:r>
            <w:r w:rsidR="00C62009">
              <w:rPr>
                <w:szCs w:val="20"/>
              </w:rPr>
              <w:t>-</w:t>
            </w:r>
            <w:r w:rsidRPr="005759E7">
              <w:rPr>
                <w:szCs w:val="20"/>
              </w:rPr>
              <w:t>band</w:t>
            </w:r>
            <w:r w:rsidR="009C1F69">
              <w:rPr>
                <w:szCs w:val="20"/>
              </w:rPr>
              <w:t xml:space="preserve"> </w:t>
            </w:r>
            <w:r w:rsidRPr="005759E7">
              <w:rPr>
                <w:szCs w:val="20"/>
              </w:rPr>
              <w:t>(1518</w:t>
            </w:r>
            <w:r w:rsidR="00C94652" w:rsidRPr="005759E7">
              <w:rPr>
                <w:szCs w:val="20"/>
              </w:rPr>
              <w:t>–</w:t>
            </w:r>
            <w:r w:rsidRPr="005759E7">
              <w:rPr>
                <w:szCs w:val="20"/>
              </w:rPr>
              <w:t>1525 and 1668</w:t>
            </w:r>
            <w:r w:rsidR="00C94652" w:rsidRPr="005759E7">
              <w:rPr>
                <w:szCs w:val="20"/>
              </w:rPr>
              <w:t>–</w:t>
            </w:r>
            <w:r w:rsidRPr="005759E7">
              <w:rPr>
                <w:szCs w:val="20"/>
              </w:rPr>
              <w:t>1675 MHz)</w:t>
            </w:r>
          </w:p>
        </w:tc>
        <w:tc>
          <w:tcPr>
            <w:tcW w:w="2330" w:type="pct"/>
            <w:shd w:val="clear" w:color="auto" w:fill="F2F2F2" w:themeFill="background1" w:themeFillShade="F2"/>
          </w:tcPr>
          <w:p w14:paraId="04CA2149" w14:textId="77777777" w:rsidR="003E0226" w:rsidRDefault="005D0424" w:rsidP="001C517F">
            <w:pPr>
              <w:pStyle w:val="TableBody"/>
              <w:spacing w:after="120" w:line="240" w:lineRule="atLeast"/>
              <w:mirrorIndents/>
              <w:rPr>
                <w:szCs w:val="20"/>
              </w:rPr>
            </w:pPr>
            <w:r>
              <w:rPr>
                <w:rFonts w:cs="Arial"/>
                <w:szCs w:val="20"/>
              </w:rPr>
              <w:t xml:space="preserve">Q4: </w:t>
            </w:r>
            <w:r w:rsidR="003E0226">
              <w:rPr>
                <w:rFonts w:cs="Arial"/>
                <w:szCs w:val="20"/>
              </w:rPr>
              <w:t xml:space="preserve">Discussion paper on planning issues to </w:t>
            </w:r>
            <w:r w:rsidR="003D32E8">
              <w:rPr>
                <w:rFonts w:cs="Arial"/>
                <w:szCs w:val="20"/>
              </w:rPr>
              <w:t>consider</w:t>
            </w:r>
            <w:r w:rsidR="003E0226">
              <w:rPr>
                <w:rFonts w:cs="Arial"/>
                <w:szCs w:val="20"/>
              </w:rPr>
              <w:t xml:space="preserve"> in the band.</w:t>
            </w:r>
            <w:r w:rsidR="009116B7" w:rsidRPr="005759E7">
              <w:rPr>
                <w:rFonts w:cs="Arial"/>
                <w:szCs w:val="20"/>
              </w:rPr>
              <w:t xml:space="preserve"> </w:t>
            </w:r>
          </w:p>
          <w:p w14:paraId="596BA4D1" w14:textId="643EBFE9" w:rsidR="003E0226" w:rsidRDefault="00745A90" w:rsidP="001C517F">
            <w:pPr>
              <w:pStyle w:val="TableBody"/>
              <w:spacing w:after="120" w:line="240" w:lineRule="atLeast"/>
              <w:mirrorIndents/>
              <w:rPr>
                <w:rFonts w:cs="Arial"/>
                <w:szCs w:val="20"/>
              </w:rPr>
            </w:pPr>
            <w:r w:rsidRPr="005759E7">
              <w:rPr>
                <w:szCs w:val="20"/>
              </w:rPr>
              <w:t>Q4</w:t>
            </w:r>
            <w:r>
              <w:rPr>
                <w:szCs w:val="20"/>
              </w:rPr>
              <w:t xml:space="preserve">: </w:t>
            </w:r>
            <w:r w:rsidR="003E0226">
              <w:rPr>
                <w:rFonts w:cs="Arial"/>
                <w:szCs w:val="20"/>
              </w:rPr>
              <w:t xml:space="preserve">Discussion paper on planning issues to </w:t>
            </w:r>
            <w:r w:rsidR="003D32E8">
              <w:rPr>
                <w:rFonts w:cs="Arial"/>
                <w:szCs w:val="20"/>
              </w:rPr>
              <w:t>consider</w:t>
            </w:r>
            <w:r w:rsidR="003E0226">
              <w:rPr>
                <w:rFonts w:cs="Arial"/>
                <w:szCs w:val="20"/>
              </w:rPr>
              <w:t xml:space="preserve"> in the band.</w:t>
            </w:r>
          </w:p>
          <w:p w14:paraId="119ED017" w14:textId="77777777" w:rsidR="003E0226" w:rsidRDefault="009116B7" w:rsidP="001C517F">
            <w:pPr>
              <w:pStyle w:val="TableBody"/>
              <w:spacing w:after="120" w:line="240" w:lineRule="atLeast"/>
              <w:mirrorIndents/>
              <w:rPr>
                <w:szCs w:val="20"/>
              </w:rPr>
            </w:pPr>
            <w:r w:rsidRPr="005759E7">
              <w:rPr>
                <w:rFonts w:cs="Arial"/>
                <w:szCs w:val="20"/>
              </w:rPr>
              <w:t>Q1</w:t>
            </w:r>
            <w:r w:rsidR="00DA7873">
              <w:rPr>
                <w:rFonts w:cs="Arial"/>
                <w:szCs w:val="20"/>
              </w:rPr>
              <w:t>:</w:t>
            </w:r>
            <w:r w:rsidRPr="005759E7">
              <w:rPr>
                <w:rFonts w:cs="Arial"/>
                <w:szCs w:val="20"/>
              </w:rPr>
              <w:t xml:space="preserve"> </w:t>
            </w:r>
            <w:r w:rsidR="003E0226">
              <w:rPr>
                <w:rFonts w:cs="Arial"/>
                <w:szCs w:val="20"/>
              </w:rPr>
              <w:t>Discussion paper on planning issues to co</w:t>
            </w:r>
            <w:r w:rsidR="00DA4B21">
              <w:rPr>
                <w:rFonts w:cs="Arial"/>
                <w:szCs w:val="20"/>
              </w:rPr>
              <w:t>n</w:t>
            </w:r>
            <w:r w:rsidR="003E0226">
              <w:rPr>
                <w:rFonts w:cs="Arial"/>
                <w:szCs w:val="20"/>
              </w:rPr>
              <w:t>sider in the band.</w:t>
            </w:r>
            <w:r w:rsidR="003E0226" w:rsidRPr="005759E7">
              <w:rPr>
                <w:rFonts w:cs="Arial"/>
                <w:szCs w:val="20"/>
              </w:rPr>
              <w:t xml:space="preserve"> </w:t>
            </w:r>
          </w:p>
          <w:p w14:paraId="14A1ADBE" w14:textId="77777777" w:rsidR="00842CA1" w:rsidRPr="005759E7" w:rsidRDefault="0068398F" w:rsidP="001C517F">
            <w:pPr>
              <w:pStyle w:val="TableBody"/>
              <w:spacing w:after="120" w:line="240" w:lineRule="atLeast"/>
              <w:mirrorIndents/>
              <w:rPr>
                <w:rFonts w:cs="Arial"/>
                <w:szCs w:val="20"/>
              </w:rPr>
            </w:pPr>
            <w:r>
              <w:rPr>
                <w:rFonts w:cs="Arial"/>
                <w:szCs w:val="20"/>
              </w:rPr>
              <w:t xml:space="preserve">Further consideration </w:t>
            </w:r>
            <w:r w:rsidRPr="00493B5D">
              <w:rPr>
                <w:rFonts w:cs="Arial"/>
                <w:szCs w:val="20"/>
              </w:rPr>
              <w:t>deferred</w:t>
            </w:r>
            <w:r>
              <w:rPr>
                <w:rFonts w:cs="Arial"/>
                <w:szCs w:val="20"/>
              </w:rPr>
              <w:t xml:space="preserve"> until Q3/4 2019</w:t>
            </w:r>
            <w:r w:rsidR="009C1F69">
              <w:rPr>
                <w:rFonts w:cs="Arial"/>
                <w:szCs w:val="20"/>
              </w:rPr>
              <w:t>–</w:t>
            </w:r>
            <w:r>
              <w:rPr>
                <w:rFonts w:cs="Arial"/>
                <w:szCs w:val="20"/>
              </w:rPr>
              <w:t>20</w:t>
            </w:r>
          </w:p>
        </w:tc>
      </w:tr>
      <w:tr w:rsidR="009116B7" w:rsidRPr="006D46E5" w14:paraId="4F33DF2F" w14:textId="77777777" w:rsidTr="005423CD">
        <w:tc>
          <w:tcPr>
            <w:tcW w:w="1100" w:type="pct"/>
            <w:shd w:val="clear" w:color="auto" w:fill="auto"/>
          </w:tcPr>
          <w:p w14:paraId="3940E5EC"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Preliminary replanning</w:t>
            </w:r>
          </w:p>
        </w:tc>
        <w:tc>
          <w:tcPr>
            <w:tcW w:w="1570" w:type="pct"/>
            <w:shd w:val="clear" w:color="auto" w:fill="auto"/>
          </w:tcPr>
          <w:p w14:paraId="09C15ADD"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26 GHz (24.25</w:t>
            </w:r>
            <w:r w:rsidR="00F57787" w:rsidRPr="005759E7">
              <w:rPr>
                <w:rFonts w:cs="Arial"/>
                <w:szCs w:val="20"/>
              </w:rPr>
              <w:t>–</w:t>
            </w:r>
            <w:r w:rsidRPr="005759E7">
              <w:rPr>
                <w:rFonts w:cs="Arial"/>
                <w:szCs w:val="20"/>
              </w:rPr>
              <w:t>27.5 GHz)</w:t>
            </w:r>
          </w:p>
          <w:p w14:paraId="59C798BD" w14:textId="77777777" w:rsidR="009116B7" w:rsidRPr="005759E7" w:rsidRDefault="00D10280" w:rsidP="00D87E10">
            <w:pPr>
              <w:pStyle w:val="TableBody"/>
              <w:spacing w:before="100" w:beforeAutospacing="1" w:after="100" w:afterAutospacing="1" w:line="240" w:lineRule="atLeast"/>
              <w:contextualSpacing/>
              <w:mirrorIndents/>
              <w:rPr>
                <w:rFonts w:cs="Arial"/>
                <w:szCs w:val="20"/>
              </w:rPr>
            </w:pPr>
            <w:r>
              <w:rPr>
                <w:rFonts w:cs="Arial"/>
                <w:noProof/>
                <w:szCs w:val="20"/>
              </w:rPr>
              <w:drawing>
                <wp:inline distT="0" distB="0" distL="0" distR="0" wp14:anchorId="5E6BA894" wp14:editId="632F2508">
                  <wp:extent cx="207010" cy="146050"/>
                  <wp:effectExtent l="0" t="0" r="2540" b="6350"/>
                  <wp:docPr id="17" name="Picture 17"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7010" cy="146050"/>
                          </a:xfrm>
                          <a:prstGeom prst="rect">
                            <a:avLst/>
                          </a:prstGeom>
                          <a:noFill/>
                        </pic:spPr>
                      </pic:pic>
                    </a:graphicData>
                  </a:graphic>
                </wp:inline>
              </w:drawing>
            </w:r>
            <w:r w:rsidR="00746F0C">
              <w:rPr>
                <w:rFonts w:cs="Arial"/>
                <w:szCs w:val="20"/>
              </w:rPr>
              <w:t xml:space="preserve"> </w:t>
            </w:r>
            <w:r w:rsidR="009116B7" w:rsidRPr="005759E7">
              <w:rPr>
                <w:rFonts w:cs="Arial"/>
                <w:szCs w:val="20"/>
              </w:rPr>
              <w:t xml:space="preserve">1.5 GHz </w:t>
            </w:r>
            <w:r w:rsidR="005270FE">
              <w:rPr>
                <w:rFonts w:cs="Arial"/>
                <w:szCs w:val="20"/>
              </w:rPr>
              <w:br/>
            </w:r>
            <w:r w:rsidR="009116B7" w:rsidRPr="005759E7">
              <w:rPr>
                <w:rFonts w:cs="Arial"/>
                <w:szCs w:val="20"/>
              </w:rPr>
              <w:t>(1427</w:t>
            </w:r>
            <w:r w:rsidR="00F57787" w:rsidRPr="005759E7">
              <w:rPr>
                <w:rFonts w:cs="Arial"/>
                <w:szCs w:val="20"/>
              </w:rPr>
              <w:t>–</w:t>
            </w:r>
            <w:r w:rsidR="009116B7" w:rsidRPr="005759E7">
              <w:rPr>
                <w:rFonts w:cs="Arial"/>
                <w:szCs w:val="20"/>
              </w:rPr>
              <w:t>1518 MHz)</w:t>
            </w:r>
          </w:p>
        </w:tc>
        <w:tc>
          <w:tcPr>
            <w:tcW w:w="2330" w:type="pct"/>
            <w:shd w:val="clear" w:color="auto" w:fill="auto"/>
          </w:tcPr>
          <w:p w14:paraId="593B7D4D"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Q1</w:t>
            </w:r>
            <w:r w:rsidR="00DA7873">
              <w:rPr>
                <w:rFonts w:cs="Arial"/>
                <w:szCs w:val="20"/>
              </w:rPr>
              <w:t>:</w:t>
            </w:r>
            <w:r w:rsidRPr="005759E7">
              <w:rPr>
                <w:rFonts w:cs="Arial"/>
                <w:szCs w:val="20"/>
              </w:rPr>
              <w:t xml:space="preserve"> Consult on frequency,</w:t>
            </w:r>
            <w:r w:rsidR="00FC6AAE" w:rsidRPr="005759E7">
              <w:rPr>
                <w:rFonts w:cs="Arial"/>
                <w:szCs w:val="20"/>
              </w:rPr>
              <w:t xml:space="preserve"> </w:t>
            </w:r>
            <w:r w:rsidRPr="005759E7">
              <w:rPr>
                <w:rFonts w:cs="Arial"/>
                <w:szCs w:val="20"/>
              </w:rPr>
              <w:t xml:space="preserve">area and licensing configuration options </w:t>
            </w:r>
          </w:p>
          <w:p w14:paraId="5A42C95D" w14:textId="77777777" w:rsidR="009116B7" w:rsidRPr="005759E7" w:rsidRDefault="005D0424" w:rsidP="00D87E10">
            <w:pPr>
              <w:pStyle w:val="TableBody"/>
              <w:spacing w:before="100" w:beforeAutospacing="1" w:after="100" w:afterAutospacing="1" w:line="240" w:lineRule="atLeast"/>
              <w:contextualSpacing/>
              <w:mirrorIndents/>
              <w:rPr>
                <w:rFonts w:cs="Arial"/>
                <w:szCs w:val="20"/>
              </w:rPr>
            </w:pPr>
            <w:r>
              <w:rPr>
                <w:rFonts w:cs="Arial"/>
                <w:szCs w:val="20"/>
              </w:rPr>
              <w:t xml:space="preserve">Further consideration </w:t>
            </w:r>
            <w:r w:rsidR="000C5674">
              <w:rPr>
                <w:rFonts w:cs="Arial"/>
                <w:szCs w:val="20"/>
              </w:rPr>
              <w:t xml:space="preserve">(including a possible options paper) </w:t>
            </w:r>
            <w:r w:rsidR="00245069" w:rsidRPr="00493B5D">
              <w:rPr>
                <w:rFonts w:cs="Arial"/>
                <w:szCs w:val="20"/>
              </w:rPr>
              <w:t>deferred</w:t>
            </w:r>
            <w:r>
              <w:rPr>
                <w:rFonts w:cs="Arial"/>
                <w:szCs w:val="20"/>
              </w:rPr>
              <w:t xml:space="preserve"> until</w:t>
            </w:r>
            <w:r w:rsidR="0068398F">
              <w:rPr>
                <w:rFonts w:cs="Arial"/>
                <w:szCs w:val="20"/>
              </w:rPr>
              <w:t xml:space="preserve"> Q3/4</w:t>
            </w:r>
            <w:r>
              <w:rPr>
                <w:rFonts w:cs="Arial"/>
                <w:szCs w:val="20"/>
              </w:rPr>
              <w:t xml:space="preserve"> </w:t>
            </w:r>
            <w:r w:rsidR="00A33F90">
              <w:rPr>
                <w:rFonts w:cs="Arial"/>
                <w:szCs w:val="20"/>
              </w:rPr>
              <w:t>2019</w:t>
            </w:r>
            <w:r w:rsidR="009C1F69">
              <w:rPr>
                <w:rFonts w:cs="Arial"/>
                <w:szCs w:val="20"/>
              </w:rPr>
              <w:t>–</w:t>
            </w:r>
            <w:r w:rsidR="00A33F90">
              <w:rPr>
                <w:rFonts w:cs="Arial"/>
                <w:szCs w:val="20"/>
              </w:rPr>
              <w:t>20</w:t>
            </w:r>
          </w:p>
        </w:tc>
      </w:tr>
      <w:tr w:rsidR="009116B7" w:rsidRPr="006D46E5" w14:paraId="703A14CD" w14:textId="77777777" w:rsidTr="005423CD">
        <w:tc>
          <w:tcPr>
            <w:tcW w:w="1100" w:type="pct"/>
            <w:shd w:val="clear" w:color="auto" w:fill="F2F2F2" w:themeFill="background1" w:themeFillShade="F2"/>
          </w:tcPr>
          <w:p w14:paraId="1405E538"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lastRenderedPageBreak/>
              <w:t>Re</w:t>
            </w:r>
            <w:r w:rsidR="002B2257">
              <w:rPr>
                <w:rFonts w:cs="Arial"/>
                <w:szCs w:val="20"/>
              </w:rPr>
              <w:t>-</w:t>
            </w:r>
            <w:r w:rsidR="00205F9D">
              <w:rPr>
                <w:rFonts w:cs="Arial"/>
                <w:szCs w:val="20"/>
              </w:rPr>
              <w:t>planning</w:t>
            </w:r>
          </w:p>
        </w:tc>
        <w:tc>
          <w:tcPr>
            <w:tcW w:w="1570" w:type="pct"/>
            <w:shd w:val="clear" w:color="auto" w:fill="F2F2F2" w:themeFill="background1" w:themeFillShade="F2"/>
          </w:tcPr>
          <w:p w14:paraId="41375256" w14:textId="77777777" w:rsidR="00D10280" w:rsidRDefault="00205F9D" w:rsidP="001C517F">
            <w:pPr>
              <w:pStyle w:val="TableBody"/>
              <w:spacing w:after="1320" w:line="240" w:lineRule="atLeast"/>
              <w:mirrorIndents/>
              <w:rPr>
                <w:rFonts w:cs="Arial"/>
                <w:szCs w:val="20"/>
              </w:rPr>
            </w:pPr>
            <w:r>
              <w:rPr>
                <w:rFonts w:cs="Arial"/>
                <w:szCs w:val="20"/>
              </w:rPr>
              <w:t>5.6 GHz</w:t>
            </w:r>
            <w:r w:rsidR="003E0226">
              <w:rPr>
                <w:rFonts w:cs="Arial"/>
                <w:szCs w:val="20"/>
              </w:rPr>
              <w:t xml:space="preserve"> (parts of 5600</w:t>
            </w:r>
            <w:r w:rsidR="009C1F69">
              <w:rPr>
                <w:rFonts w:cs="Arial"/>
                <w:szCs w:val="20"/>
              </w:rPr>
              <w:t>–</w:t>
            </w:r>
            <w:r w:rsidR="003E0226">
              <w:rPr>
                <w:rFonts w:cs="Arial"/>
                <w:szCs w:val="20"/>
              </w:rPr>
              <w:t>56</w:t>
            </w:r>
            <w:r w:rsidR="00C10A83">
              <w:rPr>
                <w:rFonts w:cs="Arial"/>
                <w:szCs w:val="20"/>
              </w:rPr>
              <w:t>5</w:t>
            </w:r>
            <w:r w:rsidR="003E0226">
              <w:rPr>
                <w:rFonts w:cs="Arial"/>
                <w:szCs w:val="20"/>
              </w:rPr>
              <w:t>0 MHz)</w:t>
            </w:r>
          </w:p>
          <w:p w14:paraId="025E818A" w14:textId="77777777" w:rsidR="009116B7" w:rsidRPr="005759E7" w:rsidRDefault="009116B7" w:rsidP="001C517F">
            <w:pPr>
              <w:pStyle w:val="TableBody"/>
              <w:spacing w:after="1080" w:line="240" w:lineRule="atLeast"/>
              <w:mirrorIndents/>
              <w:rPr>
                <w:rFonts w:cs="Arial"/>
                <w:szCs w:val="20"/>
              </w:rPr>
            </w:pPr>
            <w:r w:rsidRPr="005759E7">
              <w:rPr>
                <w:rFonts w:cs="Arial"/>
                <w:szCs w:val="20"/>
              </w:rPr>
              <w:t>850 MHz expansion band (809</w:t>
            </w:r>
            <w:r w:rsidR="00F57787" w:rsidRPr="005759E7">
              <w:rPr>
                <w:rFonts w:cs="Arial"/>
                <w:szCs w:val="20"/>
              </w:rPr>
              <w:t>–</w:t>
            </w:r>
            <w:r w:rsidRPr="005759E7">
              <w:rPr>
                <w:rFonts w:cs="Arial"/>
                <w:szCs w:val="20"/>
              </w:rPr>
              <w:t>824 MHz and 854</w:t>
            </w:r>
            <w:r w:rsidR="00F57787" w:rsidRPr="005759E7">
              <w:rPr>
                <w:rFonts w:cs="Arial"/>
                <w:szCs w:val="20"/>
              </w:rPr>
              <w:t>–</w:t>
            </w:r>
            <w:r w:rsidRPr="005759E7">
              <w:rPr>
                <w:rFonts w:cs="Arial"/>
                <w:szCs w:val="20"/>
              </w:rPr>
              <w:t>869 MHz)</w:t>
            </w:r>
          </w:p>
          <w:p w14:paraId="7E9C4BDE" w14:textId="77777777" w:rsidR="009116B7" w:rsidRPr="005759E7" w:rsidRDefault="009116B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900 MHz (890</w:t>
            </w:r>
            <w:r w:rsidR="00F57787" w:rsidRPr="005759E7">
              <w:rPr>
                <w:rFonts w:cs="Arial"/>
                <w:szCs w:val="20"/>
              </w:rPr>
              <w:t>–</w:t>
            </w:r>
            <w:r w:rsidRPr="005759E7">
              <w:rPr>
                <w:rFonts w:cs="Arial"/>
                <w:szCs w:val="20"/>
              </w:rPr>
              <w:t>915 M</w:t>
            </w:r>
            <w:r w:rsidR="00CE2B49" w:rsidRPr="005759E7">
              <w:rPr>
                <w:rFonts w:cs="Arial"/>
                <w:szCs w:val="20"/>
              </w:rPr>
              <w:t>H</w:t>
            </w:r>
            <w:r w:rsidRPr="005759E7">
              <w:rPr>
                <w:rFonts w:cs="Arial"/>
                <w:szCs w:val="20"/>
              </w:rPr>
              <w:t>z and 935</w:t>
            </w:r>
            <w:r w:rsidR="00F57787" w:rsidRPr="005759E7">
              <w:rPr>
                <w:rFonts w:cs="Arial"/>
                <w:szCs w:val="20"/>
              </w:rPr>
              <w:t>–</w:t>
            </w:r>
            <w:r w:rsidRPr="005759E7">
              <w:rPr>
                <w:rFonts w:cs="Arial"/>
                <w:szCs w:val="20"/>
              </w:rPr>
              <w:t>960 MHz)</w:t>
            </w:r>
          </w:p>
        </w:tc>
        <w:tc>
          <w:tcPr>
            <w:tcW w:w="2330" w:type="pct"/>
            <w:shd w:val="clear" w:color="auto" w:fill="F2F2F2" w:themeFill="background1" w:themeFillShade="F2"/>
          </w:tcPr>
          <w:p w14:paraId="4D178174" w14:textId="77777777" w:rsidR="00D87E10" w:rsidRPr="005759E7" w:rsidRDefault="003E0226" w:rsidP="001C517F">
            <w:pPr>
              <w:pStyle w:val="TableBody"/>
              <w:spacing w:after="120" w:line="240" w:lineRule="atLeast"/>
              <w:mirrorIndents/>
              <w:rPr>
                <w:rFonts w:cs="Arial"/>
                <w:szCs w:val="20"/>
              </w:rPr>
            </w:pPr>
            <w:r>
              <w:rPr>
                <w:rFonts w:cs="Arial"/>
                <w:szCs w:val="20"/>
              </w:rPr>
              <w:t>Q2</w:t>
            </w:r>
            <w:r w:rsidR="00803392">
              <w:rPr>
                <w:rFonts w:cs="Arial"/>
                <w:szCs w:val="20"/>
              </w:rPr>
              <w:t xml:space="preserve">: </w:t>
            </w:r>
            <w:r>
              <w:rPr>
                <w:rFonts w:cs="Arial"/>
                <w:szCs w:val="20"/>
              </w:rPr>
              <w:t>Progress</w:t>
            </w:r>
            <w:r w:rsidRPr="005759E7">
              <w:rPr>
                <w:rFonts w:cs="Arial"/>
                <w:szCs w:val="20"/>
              </w:rPr>
              <w:t xml:space="preserve"> </w:t>
            </w:r>
            <w:r>
              <w:rPr>
                <w:rFonts w:cs="Arial"/>
                <w:szCs w:val="20"/>
              </w:rPr>
              <w:t xml:space="preserve">technical </w:t>
            </w:r>
            <w:r w:rsidR="00CE1D8A">
              <w:rPr>
                <w:rFonts w:cs="Arial"/>
                <w:szCs w:val="20"/>
              </w:rPr>
              <w:t>coordination</w:t>
            </w:r>
            <w:r>
              <w:rPr>
                <w:rFonts w:cs="Arial"/>
                <w:szCs w:val="20"/>
              </w:rPr>
              <w:t xml:space="preserve"> rules and </w:t>
            </w:r>
            <w:r w:rsidR="00CE1D8A">
              <w:rPr>
                <w:rFonts w:cs="Arial"/>
                <w:szCs w:val="20"/>
              </w:rPr>
              <w:t xml:space="preserve">allocation </w:t>
            </w:r>
            <w:r w:rsidR="00842CA1" w:rsidRPr="005759E7">
              <w:rPr>
                <w:rFonts w:cs="Arial"/>
                <w:szCs w:val="20"/>
              </w:rPr>
              <w:t>arrangements for site</w:t>
            </w:r>
            <w:r w:rsidR="00F57787" w:rsidRPr="005759E7">
              <w:rPr>
                <w:rFonts w:cs="Arial"/>
                <w:szCs w:val="20"/>
              </w:rPr>
              <w:t>-</w:t>
            </w:r>
            <w:r w:rsidR="00842CA1" w:rsidRPr="005759E7">
              <w:rPr>
                <w:rFonts w:cs="Arial"/>
                <w:szCs w:val="20"/>
              </w:rPr>
              <w:t>based point</w:t>
            </w:r>
            <w:r w:rsidR="00F57787" w:rsidRPr="005759E7">
              <w:rPr>
                <w:rFonts w:cs="Arial"/>
                <w:szCs w:val="20"/>
              </w:rPr>
              <w:t>-</w:t>
            </w:r>
            <w:r w:rsidR="00842CA1" w:rsidRPr="005759E7">
              <w:rPr>
                <w:rFonts w:cs="Arial"/>
                <w:szCs w:val="20"/>
              </w:rPr>
              <w:t>to</w:t>
            </w:r>
            <w:r w:rsidR="00F57787" w:rsidRPr="005759E7">
              <w:rPr>
                <w:rFonts w:cs="Arial"/>
                <w:szCs w:val="20"/>
              </w:rPr>
              <w:t>-</w:t>
            </w:r>
            <w:r w:rsidR="00842CA1" w:rsidRPr="005759E7">
              <w:rPr>
                <w:rFonts w:cs="Arial"/>
                <w:szCs w:val="20"/>
              </w:rPr>
              <w:t xml:space="preserve">multipoint uses outside of metropolitan areas </w:t>
            </w:r>
            <w:r w:rsidR="00960DF3">
              <w:rPr>
                <w:rFonts w:cs="Arial"/>
                <w:szCs w:val="20"/>
              </w:rPr>
              <w:t xml:space="preserve">including for the </w:t>
            </w:r>
            <w:r w:rsidR="00960DF3" w:rsidRPr="005759E7">
              <w:rPr>
                <w:rFonts w:cs="Arial"/>
                <w:szCs w:val="20"/>
              </w:rPr>
              <w:t xml:space="preserve">transition of </w:t>
            </w:r>
            <w:r w:rsidR="00C10A83">
              <w:rPr>
                <w:rFonts w:cs="Arial"/>
                <w:szCs w:val="20"/>
              </w:rPr>
              <w:t xml:space="preserve">services </w:t>
            </w:r>
            <w:r w:rsidR="00842CA1" w:rsidRPr="005759E7">
              <w:rPr>
                <w:rFonts w:cs="Arial"/>
                <w:szCs w:val="20"/>
              </w:rPr>
              <w:t xml:space="preserve">from the 3.6 GHz to </w:t>
            </w:r>
            <w:r w:rsidR="000B3A6E">
              <w:rPr>
                <w:rFonts w:cs="Arial"/>
                <w:szCs w:val="20"/>
              </w:rPr>
              <w:t>the</w:t>
            </w:r>
            <w:r w:rsidR="00842CA1" w:rsidRPr="005759E7">
              <w:rPr>
                <w:rFonts w:cs="Arial"/>
                <w:szCs w:val="20"/>
              </w:rPr>
              <w:t xml:space="preserve"> 5.6 GHz band</w:t>
            </w:r>
            <w:r w:rsidR="00CE1D8A">
              <w:rPr>
                <w:rFonts w:cs="Arial"/>
                <w:szCs w:val="20"/>
              </w:rPr>
              <w:t>, where possible</w:t>
            </w:r>
            <w:r w:rsidR="00842CA1" w:rsidRPr="005759E7">
              <w:rPr>
                <w:rFonts w:cs="Arial"/>
                <w:szCs w:val="20"/>
              </w:rPr>
              <w:t xml:space="preserve"> </w:t>
            </w:r>
          </w:p>
          <w:p w14:paraId="19CE2F03" w14:textId="77777777" w:rsidR="00D87E10" w:rsidRPr="005759E7" w:rsidRDefault="009116B7" w:rsidP="001C517F">
            <w:pPr>
              <w:pStyle w:val="TableBody"/>
              <w:spacing w:after="120" w:line="240" w:lineRule="atLeast"/>
              <w:mirrorIndents/>
              <w:rPr>
                <w:rFonts w:cs="Arial"/>
                <w:szCs w:val="20"/>
              </w:rPr>
            </w:pPr>
            <w:r w:rsidRPr="005759E7">
              <w:rPr>
                <w:rFonts w:cs="Arial"/>
                <w:szCs w:val="20"/>
              </w:rPr>
              <w:t>Decision paper outlined transition milestones for incumbent services</w:t>
            </w:r>
            <w:r w:rsidR="005C5E04">
              <w:rPr>
                <w:rFonts w:cs="Arial"/>
                <w:szCs w:val="20"/>
              </w:rPr>
              <w:t xml:space="preserve"> making way for new mobile broadband</w:t>
            </w:r>
            <w:r w:rsidR="00AA2C3D">
              <w:rPr>
                <w:rFonts w:cs="Arial"/>
                <w:szCs w:val="20"/>
              </w:rPr>
              <w:t>.</w:t>
            </w:r>
            <w:r w:rsidRPr="005759E7">
              <w:rPr>
                <w:rFonts w:cs="Arial"/>
                <w:szCs w:val="20"/>
              </w:rPr>
              <w:t xml:space="preserve"> </w:t>
            </w:r>
            <w:r w:rsidR="005C5E04">
              <w:rPr>
                <w:rFonts w:cs="Arial"/>
                <w:szCs w:val="20"/>
              </w:rPr>
              <w:t xml:space="preserve">Allocation timeframes tied to </w:t>
            </w:r>
            <w:r w:rsidR="00A277D5">
              <w:rPr>
                <w:rFonts w:cs="Arial"/>
                <w:szCs w:val="20"/>
              </w:rPr>
              <w:t xml:space="preserve">those of the </w:t>
            </w:r>
            <w:r w:rsidR="005C5E04">
              <w:rPr>
                <w:rFonts w:cs="Arial"/>
                <w:szCs w:val="20"/>
              </w:rPr>
              <w:t>900 MHz band</w:t>
            </w:r>
            <w:r w:rsidR="00A277D5">
              <w:rPr>
                <w:rFonts w:cs="Arial"/>
                <w:szCs w:val="20"/>
              </w:rPr>
              <w:t xml:space="preserve"> (assuming 900 MHz is ultimately reallocated)</w:t>
            </w:r>
          </w:p>
          <w:p w14:paraId="15EE40D6" w14:textId="77777777" w:rsidR="009116B7" w:rsidRPr="005759E7" w:rsidRDefault="00F57787" w:rsidP="00D87E10">
            <w:pPr>
              <w:pStyle w:val="TableBody"/>
              <w:spacing w:before="100" w:beforeAutospacing="1" w:after="100" w:afterAutospacing="1" w:line="240" w:lineRule="atLeast"/>
              <w:contextualSpacing/>
              <w:mirrorIndents/>
              <w:rPr>
                <w:rFonts w:cs="Arial"/>
                <w:szCs w:val="20"/>
              </w:rPr>
            </w:pPr>
            <w:r w:rsidRPr="005759E7">
              <w:rPr>
                <w:rFonts w:cs="Arial"/>
                <w:szCs w:val="20"/>
              </w:rPr>
              <w:t>C</w:t>
            </w:r>
            <w:r w:rsidR="009116B7" w:rsidRPr="005759E7">
              <w:rPr>
                <w:rFonts w:cs="Arial"/>
                <w:szCs w:val="20"/>
              </w:rPr>
              <w:t>onsidering options for timing</w:t>
            </w:r>
            <w:r w:rsidR="007A3263">
              <w:rPr>
                <w:rFonts w:cs="Arial"/>
                <w:szCs w:val="20"/>
              </w:rPr>
              <w:t xml:space="preserve"> of band reorganisation, including potential</w:t>
            </w:r>
            <w:r w:rsidR="009116B7" w:rsidRPr="005759E7">
              <w:rPr>
                <w:rFonts w:cs="Arial"/>
                <w:szCs w:val="20"/>
              </w:rPr>
              <w:t xml:space="preserve"> clearance and reallocation </w:t>
            </w:r>
            <w:r w:rsidR="007A3263">
              <w:rPr>
                <w:rFonts w:cs="Arial"/>
                <w:szCs w:val="20"/>
              </w:rPr>
              <w:t>processes</w:t>
            </w:r>
          </w:p>
        </w:tc>
      </w:tr>
    </w:tbl>
    <w:p w14:paraId="7F3CEC1D" w14:textId="77777777" w:rsidR="0058077F" w:rsidRPr="001B1B7A" w:rsidRDefault="0058077F" w:rsidP="00A24446">
      <w:pPr>
        <w:pStyle w:val="ACMASpaceaftertable"/>
      </w:pPr>
    </w:p>
    <w:p w14:paraId="5F3B0740" w14:textId="77777777" w:rsidR="009116B7" w:rsidRDefault="009116B7" w:rsidP="001B1B7A">
      <w:pPr>
        <w:pStyle w:val="ACMATableHeader"/>
      </w:pPr>
      <w:r>
        <w:t>Planning</w:t>
      </w:r>
      <w:r w:rsidR="00E6326B">
        <w:t>—</w:t>
      </w:r>
      <w:r w:rsidRPr="00E6326B">
        <w:t>optimising</w:t>
      </w:r>
      <w:r>
        <w:t xml:space="preserve"> established planning frameworks.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Caption w:val="Table title to go here"/>
        <w:tblDescription w:val="Table description to go here"/>
      </w:tblPr>
      <w:tblGrid>
        <w:gridCol w:w="1696"/>
        <w:gridCol w:w="4675"/>
        <w:gridCol w:w="1290"/>
      </w:tblGrid>
      <w:tr w:rsidR="001178EE" w:rsidRPr="006D46E5" w14:paraId="2D42E986" w14:textId="77777777" w:rsidTr="0001077C">
        <w:trPr>
          <w:tblHeader/>
        </w:trPr>
        <w:tc>
          <w:tcPr>
            <w:tcW w:w="1107" w:type="pct"/>
            <w:shd w:val="clear" w:color="auto" w:fill="404040" w:themeFill="text1" w:themeFillTint="BF"/>
          </w:tcPr>
          <w:p w14:paraId="7691FFAF" w14:textId="77777777" w:rsidR="001178EE" w:rsidRDefault="001178EE" w:rsidP="00B747E1">
            <w:pPr>
              <w:pStyle w:val="TableHeading"/>
            </w:pPr>
            <w:r>
              <w:t>Planning area</w:t>
            </w:r>
          </w:p>
        </w:tc>
        <w:tc>
          <w:tcPr>
            <w:tcW w:w="3051" w:type="pct"/>
            <w:shd w:val="clear" w:color="auto" w:fill="404040" w:themeFill="text1" w:themeFillTint="BF"/>
          </w:tcPr>
          <w:p w14:paraId="5A0AC9D2" w14:textId="77777777" w:rsidR="001178EE" w:rsidRPr="006D46E5" w:rsidRDefault="001178EE" w:rsidP="00B747E1">
            <w:pPr>
              <w:pStyle w:val="TableHeading"/>
            </w:pPr>
            <w:r>
              <w:t>Project priorities</w:t>
            </w:r>
          </w:p>
        </w:tc>
        <w:tc>
          <w:tcPr>
            <w:tcW w:w="842" w:type="pct"/>
            <w:shd w:val="clear" w:color="auto" w:fill="404040" w:themeFill="text1" w:themeFillTint="BF"/>
          </w:tcPr>
          <w:p w14:paraId="6AED50D5" w14:textId="77777777" w:rsidR="001178EE" w:rsidRPr="006D46E5" w:rsidRDefault="001178EE" w:rsidP="00B747E1">
            <w:pPr>
              <w:pStyle w:val="TableHeading"/>
            </w:pPr>
            <w:r>
              <w:t>Proposed timelines</w:t>
            </w:r>
          </w:p>
        </w:tc>
      </w:tr>
      <w:tr w:rsidR="001178EE" w:rsidRPr="006D46E5" w14:paraId="3CA22497" w14:textId="77777777" w:rsidTr="0001077C">
        <w:tc>
          <w:tcPr>
            <w:tcW w:w="1107" w:type="pct"/>
            <w:shd w:val="clear" w:color="auto" w:fill="auto"/>
          </w:tcPr>
          <w:p w14:paraId="7B05941D" w14:textId="77777777" w:rsidR="001178EE" w:rsidRPr="005759E7" w:rsidRDefault="001178EE" w:rsidP="00A9043E">
            <w:pPr>
              <w:pStyle w:val="TableBody"/>
              <w:spacing w:before="100" w:beforeAutospacing="1" w:after="100" w:afterAutospacing="1" w:line="240" w:lineRule="atLeast"/>
              <w:contextualSpacing/>
              <w:mirrorIndents/>
              <w:rPr>
                <w:rFonts w:cs="Arial"/>
                <w:szCs w:val="20"/>
              </w:rPr>
            </w:pPr>
            <w:r w:rsidRPr="005759E7">
              <w:rPr>
                <w:rFonts w:cs="Arial"/>
                <w:szCs w:val="20"/>
              </w:rPr>
              <w:t>Broadcasting</w:t>
            </w:r>
            <w:r w:rsidR="00E6326B" w:rsidRPr="005759E7">
              <w:rPr>
                <w:rFonts w:cs="Arial"/>
                <w:szCs w:val="20"/>
              </w:rPr>
              <w:t xml:space="preserve"> a</w:t>
            </w:r>
            <w:r w:rsidR="002E1886" w:rsidRPr="005759E7">
              <w:rPr>
                <w:rFonts w:cs="Arial"/>
                <w:szCs w:val="20"/>
              </w:rPr>
              <w:t>nalog</w:t>
            </w:r>
            <w:r w:rsidR="00E6326B" w:rsidRPr="005759E7">
              <w:rPr>
                <w:rFonts w:cs="Arial"/>
                <w:szCs w:val="20"/>
              </w:rPr>
              <w:t xml:space="preserve"> </w:t>
            </w:r>
            <w:r w:rsidR="002E1886" w:rsidRPr="005759E7">
              <w:rPr>
                <w:rFonts w:cs="Arial"/>
                <w:szCs w:val="20"/>
              </w:rPr>
              <w:t>and digital radio</w:t>
            </w:r>
          </w:p>
        </w:tc>
        <w:tc>
          <w:tcPr>
            <w:tcW w:w="3051" w:type="pct"/>
            <w:shd w:val="clear" w:color="auto" w:fill="auto"/>
          </w:tcPr>
          <w:p w14:paraId="201025F5" w14:textId="1CF524EB" w:rsidR="00A9043E" w:rsidRPr="005759E7" w:rsidRDefault="00EC5388" w:rsidP="005270FE">
            <w:pPr>
              <w:pStyle w:val="TableBody"/>
              <w:spacing w:after="120" w:line="240" w:lineRule="atLeast"/>
              <w:mirrorIndents/>
              <w:rPr>
                <w:rFonts w:cs="Arial"/>
                <w:szCs w:val="20"/>
              </w:rPr>
            </w:pPr>
            <w:r>
              <w:rPr>
                <w:rFonts w:cs="Arial"/>
                <w:szCs w:val="20"/>
              </w:rPr>
              <w:t xml:space="preserve">Make final decisions on </w:t>
            </w:r>
            <w:r w:rsidR="005270FE">
              <w:rPr>
                <w:rFonts w:cs="Arial"/>
                <w:szCs w:val="20"/>
              </w:rPr>
              <w:t xml:space="preserve">LAP </w:t>
            </w:r>
            <w:r w:rsidR="002E1886" w:rsidRPr="005759E7">
              <w:rPr>
                <w:rFonts w:cs="Arial"/>
                <w:szCs w:val="20"/>
              </w:rPr>
              <w:t>variations for AM to FM conversion in Burnie, Devonport, Queenstown</w:t>
            </w:r>
            <w:r w:rsidR="00133FB3">
              <w:rPr>
                <w:rFonts w:cs="Arial"/>
                <w:szCs w:val="20"/>
              </w:rPr>
              <w:t xml:space="preserve"> and</w:t>
            </w:r>
            <w:r w:rsidR="00DF0E95">
              <w:rPr>
                <w:rFonts w:cs="Arial"/>
                <w:szCs w:val="20"/>
              </w:rPr>
              <w:t xml:space="preserve"> </w:t>
            </w:r>
            <w:r w:rsidR="002E1886" w:rsidRPr="005759E7">
              <w:rPr>
                <w:rFonts w:cs="Arial"/>
                <w:szCs w:val="20"/>
              </w:rPr>
              <w:t>Scottsdale</w:t>
            </w:r>
          </w:p>
          <w:p w14:paraId="268CE094" w14:textId="77777777" w:rsidR="00A9043E" w:rsidRDefault="00904191" w:rsidP="005270FE">
            <w:pPr>
              <w:pStyle w:val="TableBody"/>
              <w:spacing w:after="120" w:line="240" w:lineRule="atLeast"/>
              <w:mirrorIndents/>
              <w:rPr>
                <w:rFonts w:cs="Arial"/>
                <w:szCs w:val="20"/>
              </w:rPr>
            </w:pPr>
            <w:r>
              <w:rPr>
                <w:rFonts w:cs="Arial"/>
                <w:szCs w:val="20"/>
              </w:rPr>
              <w:t>Develop and c</w:t>
            </w:r>
            <w:r w:rsidR="00EC5388">
              <w:rPr>
                <w:rFonts w:cs="Arial"/>
                <w:szCs w:val="20"/>
              </w:rPr>
              <w:t xml:space="preserve">onsult on </w:t>
            </w:r>
            <w:r w:rsidR="002E1886" w:rsidRPr="005759E7">
              <w:rPr>
                <w:rFonts w:cs="Arial"/>
                <w:szCs w:val="20"/>
              </w:rPr>
              <w:t>proposals for AM to FM conversion for Lithgow, Bega, Cooma, Goulburn and Nowra</w:t>
            </w:r>
          </w:p>
          <w:p w14:paraId="0AEFD004" w14:textId="3F272EAF" w:rsidR="00904191" w:rsidRDefault="00056B79" w:rsidP="005270FE">
            <w:pPr>
              <w:pStyle w:val="TableBody"/>
              <w:spacing w:after="120" w:line="240" w:lineRule="atLeast"/>
              <w:mirrorIndents/>
              <w:rPr>
                <w:rFonts w:cs="Arial"/>
                <w:szCs w:val="20"/>
              </w:rPr>
            </w:pPr>
            <w:r>
              <w:rPr>
                <w:rFonts w:cs="Arial"/>
                <w:szCs w:val="20"/>
              </w:rPr>
              <w:t>Further c</w:t>
            </w:r>
            <w:r w:rsidR="002D1D48">
              <w:rPr>
                <w:rFonts w:cs="Arial"/>
                <w:szCs w:val="20"/>
              </w:rPr>
              <w:t xml:space="preserve">onsider </w:t>
            </w:r>
            <w:r>
              <w:rPr>
                <w:rFonts w:cs="Arial"/>
                <w:szCs w:val="20"/>
              </w:rPr>
              <w:t xml:space="preserve">whether </w:t>
            </w:r>
            <w:r w:rsidR="001B501C">
              <w:rPr>
                <w:rFonts w:cs="Arial"/>
                <w:szCs w:val="20"/>
              </w:rPr>
              <w:t>var</w:t>
            </w:r>
            <w:r>
              <w:rPr>
                <w:rFonts w:cs="Arial"/>
                <w:szCs w:val="20"/>
              </w:rPr>
              <w:t>iations to</w:t>
            </w:r>
            <w:r w:rsidR="002D1D48">
              <w:rPr>
                <w:rFonts w:cs="Arial"/>
                <w:szCs w:val="20"/>
              </w:rPr>
              <w:t xml:space="preserve"> </w:t>
            </w:r>
            <w:r w:rsidR="005E257E">
              <w:rPr>
                <w:rFonts w:cs="Arial"/>
                <w:szCs w:val="20"/>
              </w:rPr>
              <w:t>the</w:t>
            </w:r>
            <w:r w:rsidR="00F67B2D">
              <w:rPr>
                <w:rFonts w:cs="Arial"/>
                <w:szCs w:val="20"/>
              </w:rPr>
              <w:t xml:space="preserve"> Brisbane digital radio channel plan </w:t>
            </w:r>
            <w:r>
              <w:rPr>
                <w:rFonts w:cs="Arial"/>
                <w:szCs w:val="20"/>
              </w:rPr>
              <w:t>are appropriate to improve digital coverage</w:t>
            </w:r>
            <w:r w:rsidR="00F67B2D">
              <w:rPr>
                <w:rFonts w:cs="Arial"/>
                <w:szCs w:val="20"/>
              </w:rPr>
              <w:t xml:space="preserve"> </w:t>
            </w:r>
          </w:p>
          <w:p w14:paraId="2D0BEACB" w14:textId="58869C4E" w:rsidR="00F67B2D" w:rsidRDefault="00F67B2D" w:rsidP="005270FE">
            <w:pPr>
              <w:pStyle w:val="TableBody"/>
              <w:spacing w:after="120" w:line="240" w:lineRule="atLeast"/>
              <w:mirrorIndents/>
              <w:rPr>
                <w:rFonts w:cs="Arial"/>
                <w:szCs w:val="20"/>
              </w:rPr>
            </w:pPr>
            <w:r>
              <w:rPr>
                <w:rFonts w:cs="Arial"/>
                <w:szCs w:val="20"/>
              </w:rPr>
              <w:t xml:space="preserve">Following completion of digital radio allotment planning, consult on </w:t>
            </w:r>
            <w:r w:rsidR="00133FB3">
              <w:rPr>
                <w:rFonts w:cs="Arial"/>
                <w:szCs w:val="20"/>
              </w:rPr>
              <w:t xml:space="preserve">a </w:t>
            </w:r>
            <w:r>
              <w:rPr>
                <w:rFonts w:cs="Arial"/>
                <w:szCs w:val="20"/>
              </w:rPr>
              <w:t xml:space="preserve">variation </w:t>
            </w:r>
            <w:r w:rsidR="00133FB3">
              <w:rPr>
                <w:rFonts w:cs="Arial"/>
                <w:szCs w:val="20"/>
              </w:rPr>
              <w:t xml:space="preserve">to the </w:t>
            </w:r>
            <w:r w:rsidRPr="00493B5D">
              <w:rPr>
                <w:rFonts w:cs="Arial"/>
                <w:szCs w:val="20"/>
              </w:rPr>
              <w:t>Ca</w:t>
            </w:r>
            <w:r w:rsidR="00245069">
              <w:rPr>
                <w:rFonts w:cs="Arial"/>
                <w:szCs w:val="20"/>
              </w:rPr>
              <w:t>n</w:t>
            </w:r>
            <w:r w:rsidRPr="00493B5D">
              <w:rPr>
                <w:rFonts w:cs="Arial"/>
                <w:szCs w:val="20"/>
              </w:rPr>
              <w:t>berra</w:t>
            </w:r>
            <w:r>
              <w:rPr>
                <w:rFonts w:cs="Arial"/>
                <w:szCs w:val="20"/>
              </w:rPr>
              <w:t xml:space="preserve"> digital radio channel plan </w:t>
            </w:r>
            <w:r w:rsidR="00133FB3">
              <w:rPr>
                <w:rFonts w:cs="Arial"/>
                <w:szCs w:val="20"/>
              </w:rPr>
              <w:t xml:space="preserve">that would </w:t>
            </w:r>
            <w:r>
              <w:rPr>
                <w:rFonts w:cs="Arial"/>
                <w:szCs w:val="20"/>
              </w:rPr>
              <w:t xml:space="preserve">allow a power increase </w:t>
            </w:r>
          </w:p>
          <w:p w14:paraId="3D3B3035" w14:textId="77777777" w:rsidR="00F67B2D" w:rsidRDefault="006D0B5D" w:rsidP="005270FE">
            <w:pPr>
              <w:pStyle w:val="TableBody"/>
              <w:spacing w:after="120" w:line="240" w:lineRule="atLeast"/>
              <w:mirrorIndents/>
              <w:rPr>
                <w:rFonts w:cs="Arial"/>
                <w:szCs w:val="20"/>
              </w:rPr>
            </w:pPr>
            <w:r>
              <w:rPr>
                <w:rFonts w:cs="Arial"/>
                <w:szCs w:val="20"/>
              </w:rPr>
              <w:t>Complete engineering and consult</w:t>
            </w:r>
            <w:r w:rsidR="003542EB">
              <w:rPr>
                <w:rFonts w:cs="Arial"/>
                <w:szCs w:val="20"/>
              </w:rPr>
              <w:t xml:space="preserve"> on</w:t>
            </w:r>
            <w:r w:rsidR="00FF4080">
              <w:rPr>
                <w:rFonts w:cs="Arial"/>
                <w:szCs w:val="20"/>
              </w:rPr>
              <w:t xml:space="preserve"> over 15</w:t>
            </w:r>
            <w:r w:rsidR="003542EB">
              <w:rPr>
                <w:rFonts w:cs="Arial"/>
                <w:szCs w:val="20"/>
              </w:rPr>
              <w:t xml:space="preserve"> new digital radio channel plans for the next</w:t>
            </w:r>
            <w:r w:rsidR="00FF4080">
              <w:rPr>
                <w:rFonts w:cs="Arial"/>
                <w:szCs w:val="20"/>
              </w:rPr>
              <w:t>-</w:t>
            </w:r>
            <w:r w:rsidR="003542EB">
              <w:rPr>
                <w:rFonts w:cs="Arial"/>
                <w:szCs w:val="20"/>
              </w:rPr>
              <w:t>mover DAB+ markets</w:t>
            </w:r>
          </w:p>
          <w:p w14:paraId="22B53F84" w14:textId="77777777" w:rsidR="00F67B2D" w:rsidRPr="005759E7" w:rsidRDefault="00C06D75" w:rsidP="00A9043E">
            <w:pPr>
              <w:pStyle w:val="TableBody"/>
              <w:spacing w:before="100" w:beforeAutospacing="1" w:after="100" w:afterAutospacing="1" w:line="240" w:lineRule="atLeast"/>
              <w:contextualSpacing/>
              <w:mirrorIndents/>
              <w:rPr>
                <w:rFonts w:cs="Arial"/>
                <w:szCs w:val="20"/>
              </w:rPr>
            </w:pPr>
            <w:r w:rsidRPr="00D01D55">
              <w:rPr>
                <w:rFonts w:cs="Arial"/>
                <w:noProof/>
              </w:rPr>
              <w:drawing>
                <wp:inline distT="0" distB="0" distL="0" distR="0" wp14:anchorId="22AC99FF" wp14:editId="529C894D">
                  <wp:extent cx="207010" cy="152400"/>
                  <wp:effectExtent l="0" t="0" r="2540" b="0"/>
                  <wp:docPr id="12" name="Picture 12"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rPr>
                <w:rFonts w:cs="Arial"/>
                <w:szCs w:val="20"/>
              </w:rPr>
              <w:t xml:space="preserve"> </w:t>
            </w:r>
            <w:r w:rsidR="006D0B5D">
              <w:rPr>
                <w:rFonts w:cs="Arial"/>
                <w:szCs w:val="20"/>
              </w:rPr>
              <w:t xml:space="preserve">Develop </w:t>
            </w:r>
            <w:r w:rsidR="00904191">
              <w:rPr>
                <w:rFonts w:cs="Arial"/>
                <w:szCs w:val="20"/>
              </w:rPr>
              <w:t xml:space="preserve">and consult on </w:t>
            </w:r>
            <w:r w:rsidR="00E256A1">
              <w:rPr>
                <w:rFonts w:cs="Arial"/>
                <w:szCs w:val="20"/>
              </w:rPr>
              <w:t>the potential for</w:t>
            </w:r>
            <w:r w:rsidR="001C517F">
              <w:rPr>
                <w:rFonts w:cs="Arial"/>
                <w:szCs w:val="20"/>
              </w:rPr>
              <w:t xml:space="preserve"> </w:t>
            </w:r>
            <w:r w:rsidR="00FF4080">
              <w:rPr>
                <w:rFonts w:cs="Arial"/>
                <w:szCs w:val="20"/>
              </w:rPr>
              <w:t>re</w:t>
            </w:r>
            <w:r w:rsidR="001C517F">
              <w:rPr>
                <w:rFonts w:cs="Arial"/>
                <w:szCs w:val="20"/>
              </w:rPr>
              <w:noBreakHyphen/>
            </w:r>
            <w:r w:rsidR="00FF4080">
              <w:rPr>
                <w:rFonts w:cs="Arial"/>
                <w:szCs w:val="20"/>
              </w:rPr>
              <w:t xml:space="preserve">planning </w:t>
            </w:r>
            <w:r w:rsidR="00DF6E45">
              <w:rPr>
                <w:rFonts w:cs="Arial"/>
                <w:szCs w:val="20"/>
              </w:rPr>
              <w:t xml:space="preserve">analog </w:t>
            </w:r>
            <w:r w:rsidR="00FF4080">
              <w:rPr>
                <w:rFonts w:cs="Arial"/>
                <w:szCs w:val="20"/>
              </w:rPr>
              <w:t>radio services in Perth, following the clearance of Band II TV in Bunbury.</w:t>
            </w:r>
          </w:p>
        </w:tc>
        <w:tc>
          <w:tcPr>
            <w:tcW w:w="842" w:type="pct"/>
            <w:shd w:val="clear" w:color="auto" w:fill="auto"/>
          </w:tcPr>
          <w:p w14:paraId="1E5271C3" w14:textId="77777777" w:rsidR="001178EE" w:rsidRPr="005759E7" w:rsidRDefault="001178EE" w:rsidP="005270FE">
            <w:pPr>
              <w:pStyle w:val="TableBody"/>
              <w:spacing w:after="600" w:line="240" w:lineRule="atLeast"/>
              <w:mirrorIndents/>
              <w:rPr>
                <w:rFonts w:cs="Arial"/>
                <w:szCs w:val="20"/>
              </w:rPr>
            </w:pPr>
            <w:r w:rsidRPr="005759E7">
              <w:rPr>
                <w:rFonts w:cs="Arial"/>
                <w:szCs w:val="20"/>
              </w:rPr>
              <w:t>Q1</w:t>
            </w:r>
            <w:r w:rsidR="0036513E">
              <w:rPr>
                <w:rFonts w:cs="Arial"/>
                <w:szCs w:val="20"/>
              </w:rPr>
              <w:t>, Q2</w:t>
            </w:r>
            <w:r w:rsidRPr="005759E7">
              <w:rPr>
                <w:rFonts w:cs="Arial"/>
                <w:szCs w:val="20"/>
              </w:rPr>
              <w:t xml:space="preserve"> </w:t>
            </w:r>
          </w:p>
          <w:p w14:paraId="31409F09" w14:textId="2D8C1E34" w:rsidR="00123BF1" w:rsidRDefault="001178EE" w:rsidP="005270FE">
            <w:pPr>
              <w:pStyle w:val="TableBody"/>
              <w:spacing w:after="600" w:line="240" w:lineRule="atLeast"/>
              <w:mirrorIndents/>
              <w:rPr>
                <w:rFonts w:cs="Arial"/>
                <w:szCs w:val="20"/>
              </w:rPr>
            </w:pPr>
            <w:r w:rsidRPr="005759E7">
              <w:rPr>
                <w:rFonts w:cs="Arial"/>
                <w:szCs w:val="20"/>
              </w:rPr>
              <w:t>Q</w:t>
            </w:r>
            <w:r w:rsidR="00EC5388">
              <w:rPr>
                <w:rFonts w:cs="Arial"/>
                <w:szCs w:val="20"/>
              </w:rPr>
              <w:t>2</w:t>
            </w:r>
            <w:r w:rsidRPr="005759E7">
              <w:rPr>
                <w:rFonts w:cs="Arial"/>
                <w:szCs w:val="20"/>
              </w:rPr>
              <w:t xml:space="preserve"> </w:t>
            </w:r>
          </w:p>
          <w:p w14:paraId="1721D811" w14:textId="736F8389" w:rsidR="002664B9" w:rsidRDefault="002D1D48" w:rsidP="00365525">
            <w:pPr>
              <w:pStyle w:val="TableBody"/>
              <w:spacing w:after="600" w:line="240" w:lineRule="atLeast"/>
              <w:mirrorIndents/>
              <w:rPr>
                <w:rFonts w:cs="Arial"/>
                <w:szCs w:val="20"/>
              </w:rPr>
            </w:pPr>
            <w:r>
              <w:rPr>
                <w:rFonts w:cs="Arial"/>
                <w:szCs w:val="20"/>
              </w:rPr>
              <w:t>Q2</w:t>
            </w:r>
          </w:p>
          <w:p w14:paraId="086AB5B5" w14:textId="77777777" w:rsidR="002664B9" w:rsidRDefault="002664B9" w:rsidP="00365525">
            <w:pPr>
              <w:pStyle w:val="TableBody"/>
              <w:spacing w:after="840" w:line="240" w:lineRule="atLeast"/>
              <w:mirrorIndents/>
              <w:rPr>
                <w:rFonts w:cs="Arial"/>
                <w:szCs w:val="20"/>
              </w:rPr>
            </w:pPr>
            <w:r>
              <w:rPr>
                <w:rFonts w:cs="Arial"/>
                <w:szCs w:val="20"/>
              </w:rPr>
              <w:t>Q1</w:t>
            </w:r>
          </w:p>
          <w:p w14:paraId="00C996B5" w14:textId="77777777" w:rsidR="002664B9" w:rsidRDefault="002664B9" w:rsidP="005270FE">
            <w:pPr>
              <w:pStyle w:val="TableBody"/>
              <w:spacing w:after="640" w:line="240" w:lineRule="atLeast"/>
              <w:mirrorIndents/>
              <w:rPr>
                <w:rFonts w:cs="Arial"/>
                <w:szCs w:val="20"/>
              </w:rPr>
            </w:pPr>
            <w:r>
              <w:rPr>
                <w:rFonts w:cs="Arial"/>
                <w:szCs w:val="20"/>
              </w:rPr>
              <w:t>Q2</w:t>
            </w:r>
          </w:p>
          <w:p w14:paraId="50A748D6" w14:textId="77777777" w:rsidR="002664B9" w:rsidRPr="005759E7" w:rsidRDefault="002664B9" w:rsidP="005270FE">
            <w:pPr>
              <w:pStyle w:val="TableBody"/>
              <w:spacing w:line="240" w:lineRule="atLeast"/>
              <w:mirrorIndents/>
              <w:rPr>
                <w:rFonts w:cs="Arial"/>
                <w:szCs w:val="20"/>
              </w:rPr>
            </w:pPr>
            <w:r>
              <w:rPr>
                <w:rFonts w:cs="Arial"/>
                <w:szCs w:val="20"/>
              </w:rPr>
              <w:t>Q2</w:t>
            </w:r>
          </w:p>
        </w:tc>
      </w:tr>
      <w:tr w:rsidR="001178EE" w:rsidRPr="006D46E5" w14:paraId="64E22620" w14:textId="77777777" w:rsidTr="0001077C">
        <w:tc>
          <w:tcPr>
            <w:tcW w:w="1107" w:type="pct"/>
            <w:shd w:val="clear" w:color="auto" w:fill="F2F2F2" w:themeFill="background1" w:themeFillShade="F2"/>
          </w:tcPr>
          <w:p w14:paraId="33629AE9" w14:textId="77777777" w:rsidR="002E1886" w:rsidRPr="005759E7" w:rsidRDefault="002E1886" w:rsidP="00E07FBF">
            <w:pPr>
              <w:pStyle w:val="TableBody"/>
              <w:spacing w:before="100" w:beforeAutospacing="1" w:after="100" w:afterAutospacing="1" w:line="240" w:lineRule="atLeast"/>
              <w:ind w:right="176"/>
              <w:contextualSpacing/>
              <w:mirrorIndents/>
              <w:jc w:val="both"/>
              <w:rPr>
                <w:rFonts w:cs="Arial"/>
                <w:szCs w:val="20"/>
              </w:rPr>
            </w:pPr>
            <w:r w:rsidRPr="005759E7">
              <w:rPr>
                <w:rFonts w:cs="Arial"/>
                <w:szCs w:val="20"/>
              </w:rPr>
              <w:t>Satellite</w:t>
            </w:r>
          </w:p>
        </w:tc>
        <w:tc>
          <w:tcPr>
            <w:tcW w:w="3051" w:type="pct"/>
            <w:shd w:val="clear" w:color="auto" w:fill="F2F2F2" w:themeFill="background1" w:themeFillShade="F2"/>
          </w:tcPr>
          <w:p w14:paraId="68DD9F41" w14:textId="77777777" w:rsidR="001178EE" w:rsidRPr="005759E7" w:rsidRDefault="002E1886"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Earth </w:t>
            </w:r>
            <w:r w:rsidR="00E6326B" w:rsidRPr="005759E7">
              <w:rPr>
                <w:rFonts w:cs="Arial"/>
                <w:szCs w:val="20"/>
              </w:rPr>
              <w:t>s</w:t>
            </w:r>
            <w:r w:rsidRPr="005759E7">
              <w:rPr>
                <w:rFonts w:cs="Arial"/>
                <w:szCs w:val="20"/>
              </w:rPr>
              <w:t>tations</w:t>
            </w:r>
            <w:r w:rsidR="00E6326B" w:rsidRPr="005759E7">
              <w:rPr>
                <w:rFonts w:cs="Arial"/>
                <w:szCs w:val="20"/>
              </w:rPr>
              <w:t>—c</w:t>
            </w:r>
            <w:r w:rsidRPr="005759E7">
              <w:rPr>
                <w:rFonts w:cs="Arial"/>
                <w:szCs w:val="20"/>
              </w:rPr>
              <w:t>odify frequency co-ordination of earth stations with point</w:t>
            </w:r>
            <w:r w:rsidR="00E6326B" w:rsidRPr="005759E7">
              <w:rPr>
                <w:rFonts w:cs="Arial"/>
                <w:szCs w:val="20"/>
              </w:rPr>
              <w:t>-</w:t>
            </w:r>
            <w:r w:rsidRPr="005759E7">
              <w:rPr>
                <w:rFonts w:cs="Arial"/>
                <w:szCs w:val="20"/>
              </w:rPr>
              <w:t>to</w:t>
            </w:r>
            <w:r w:rsidR="00E6326B" w:rsidRPr="005759E7">
              <w:rPr>
                <w:rFonts w:cs="Arial"/>
                <w:szCs w:val="20"/>
              </w:rPr>
              <w:t>-</w:t>
            </w:r>
            <w:r w:rsidRPr="005759E7">
              <w:rPr>
                <w:rFonts w:cs="Arial"/>
                <w:szCs w:val="20"/>
              </w:rPr>
              <w:t xml:space="preserve">point links (in the </w:t>
            </w:r>
            <w:r w:rsidR="00DA7873" w:rsidRPr="005759E7">
              <w:rPr>
                <w:rFonts w:cs="Arial"/>
                <w:szCs w:val="20"/>
              </w:rPr>
              <w:t>6</w:t>
            </w:r>
            <w:r w:rsidR="00DA7873">
              <w:rPr>
                <w:rFonts w:cs="Arial"/>
                <w:szCs w:val="20"/>
              </w:rPr>
              <w:t> </w:t>
            </w:r>
            <w:r w:rsidRPr="005759E7">
              <w:rPr>
                <w:rFonts w:cs="Arial"/>
                <w:szCs w:val="20"/>
              </w:rPr>
              <w:t>and 6.7 GHz bands)</w:t>
            </w:r>
          </w:p>
        </w:tc>
        <w:tc>
          <w:tcPr>
            <w:tcW w:w="842" w:type="pct"/>
            <w:shd w:val="clear" w:color="auto" w:fill="F2F2F2" w:themeFill="background1" w:themeFillShade="F2"/>
          </w:tcPr>
          <w:p w14:paraId="19336CD0"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w:t>
            </w:r>
            <w:r w:rsidR="006E447B">
              <w:rPr>
                <w:rFonts w:cs="Arial"/>
                <w:szCs w:val="20"/>
              </w:rPr>
              <w:t>2</w:t>
            </w:r>
            <w:r w:rsidRPr="005759E7">
              <w:rPr>
                <w:rFonts w:cs="Arial"/>
                <w:szCs w:val="20"/>
              </w:rPr>
              <w:t xml:space="preserve"> </w:t>
            </w:r>
          </w:p>
        </w:tc>
      </w:tr>
      <w:tr w:rsidR="001178EE" w:rsidRPr="006D46E5" w14:paraId="6AE473D8" w14:textId="77777777" w:rsidTr="0001077C">
        <w:tc>
          <w:tcPr>
            <w:tcW w:w="1107" w:type="pct"/>
            <w:shd w:val="clear" w:color="auto" w:fill="auto"/>
          </w:tcPr>
          <w:p w14:paraId="52DD8D2A"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lastRenderedPageBreak/>
              <w:t>Satellite</w:t>
            </w:r>
          </w:p>
        </w:tc>
        <w:tc>
          <w:tcPr>
            <w:tcW w:w="3051" w:type="pct"/>
            <w:shd w:val="clear" w:color="auto" w:fill="auto"/>
          </w:tcPr>
          <w:p w14:paraId="187D618C"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Space objects</w:t>
            </w:r>
            <w:r w:rsidR="00E6326B" w:rsidRPr="005759E7">
              <w:rPr>
                <w:rFonts w:cs="Arial"/>
                <w:szCs w:val="20"/>
              </w:rPr>
              <w:t>:</w:t>
            </w:r>
          </w:p>
          <w:p w14:paraId="1D13F0CF" w14:textId="77777777" w:rsidR="00E07FBF" w:rsidRPr="005759E7" w:rsidRDefault="002E1886" w:rsidP="005270FE">
            <w:pPr>
              <w:pStyle w:val="TableBody"/>
              <w:spacing w:after="120" w:line="240" w:lineRule="atLeast"/>
              <w:ind w:right="176"/>
              <w:mirrorIndents/>
              <w:rPr>
                <w:rFonts w:cs="Arial"/>
                <w:szCs w:val="20"/>
              </w:rPr>
            </w:pPr>
            <w:r w:rsidRPr="005759E7">
              <w:rPr>
                <w:rFonts w:cs="Arial"/>
                <w:szCs w:val="20"/>
              </w:rPr>
              <w:t>Finalise changes to Radiocommunications (Communication with Space Object) Class Licence 2015 and Radiocommunications (Foreign Space Objects) Determination 2014</w:t>
            </w:r>
          </w:p>
          <w:p w14:paraId="2109EA7A" w14:textId="77777777" w:rsidR="002E1886" w:rsidRPr="005759E7" w:rsidRDefault="002E1886" w:rsidP="005270FE">
            <w:pPr>
              <w:pStyle w:val="TableBody"/>
              <w:spacing w:after="120" w:line="240" w:lineRule="atLeast"/>
              <w:mirrorIndents/>
              <w:rPr>
                <w:rFonts w:cs="Arial"/>
                <w:szCs w:val="20"/>
              </w:rPr>
            </w:pPr>
            <w:r w:rsidRPr="005759E7">
              <w:rPr>
                <w:rFonts w:cs="Arial"/>
                <w:szCs w:val="20"/>
              </w:rPr>
              <w:t>Consider feasibility of inclusion of 10.7</w:t>
            </w:r>
            <w:r w:rsidR="00E6326B" w:rsidRPr="005759E7">
              <w:rPr>
                <w:rFonts w:cs="Arial"/>
                <w:szCs w:val="20"/>
              </w:rPr>
              <w:t>–</w:t>
            </w:r>
            <w:r w:rsidRPr="005759E7">
              <w:rPr>
                <w:rFonts w:cs="Arial"/>
                <w:szCs w:val="20"/>
              </w:rPr>
              <w:t>11.7 GHz in Communications Space Objects Class Licence</w:t>
            </w:r>
          </w:p>
        </w:tc>
        <w:tc>
          <w:tcPr>
            <w:tcW w:w="842" w:type="pct"/>
            <w:shd w:val="clear" w:color="auto" w:fill="auto"/>
          </w:tcPr>
          <w:p w14:paraId="1475036B" w14:textId="77777777" w:rsidR="001178EE" w:rsidRPr="005759E7" w:rsidRDefault="001178EE" w:rsidP="005270FE">
            <w:pPr>
              <w:pStyle w:val="TableBody"/>
              <w:spacing w:after="1080" w:line="240" w:lineRule="atLeast"/>
              <w:mirrorIndents/>
              <w:rPr>
                <w:rFonts w:cs="Arial"/>
                <w:szCs w:val="20"/>
              </w:rPr>
            </w:pPr>
            <w:r w:rsidRPr="005759E7">
              <w:rPr>
                <w:rFonts w:cs="Arial"/>
                <w:szCs w:val="20"/>
              </w:rPr>
              <w:t>Q</w:t>
            </w:r>
            <w:r w:rsidR="00DE646F">
              <w:rPr>
                <w:rFonts w:cs="Arial"/>
                <w:szCs w:val="20"/>
              </w:rPr>
              <w:t>1</w:t>
            </w:r>
            <w:r w:rsidRPr="005759E7">
              <w:rPr>
                <w:rFonts w:cs="Arial"/>
                <w:szCs w:val="20"/>
              </w:rPr>
              <w:t xml:space="preserve"> </w:t>
            </w:r>
          </w:p>
          <w:p w14:paraId="6810E314"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Q4 </w:t>
            </w:r>
          </w:p>
        </w:tc>
      </w:tr>
      <w:tr w:rsidR="001178EE" w:rsidRPr="006D46E5" w14:paraId="21CC46A5" w14:textId="77777777" w:rsidTr="0001077C">
        <w:tc>
          <w:tcPr>
            <w:tcW w:w="1107" w:type="pct"/>
            <w:shd w:val="clear" w:color="auto" w:fill="F2F2F2" w:themeFill="background1" w:themeFillShade="F2"/>
          </w:tcPr>
          <w:p w14:paraId="593D0FCA"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F2F2F2" w:themeFill="background1" w:themeFillShade="F2"/>
          </w:tcPr>
          <w:p w14:paraId="1693AEFF"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ESIMs</w:t>
            </w:r>
            <w:r w:rsidR="00E6326B" w:rsidRPr="005759E7">
              <w:rPr>
                <w:rFonts w:cs="Arial"/>
                <w:szCs w:val="20"/>
              </w:rPr>
              <w:t>—r</w:t>
            </w:r>
            <w:r w:rsidRPr="005759E7">
              <w:rPr>
                <w:rFonts w:cs="Arial"/>
                <w:szCs w:val="20"/>
              </w:rPr>
              <w:t xml:space="preserve">eview regulatory arrangements for </w:t>
            </w:r>
            <w:r w:rsidR="00CD459E">
              <w:rPr>
                <w:rFonts w:cs="Arial"/>
                <w:szCs w:val="20"/>
              </w:rPr>
              <w:t>e</w:t>
            </w:r>
            <w:r w:rsidRPr="005759E7">
              <w:rPr>
                <w:rFonts w:cs="Arial"/>
                <w:szCs w:val="20"/>
              </w:rPr>
              <w:t xml:space="preserve">arth </w:t>
            </w:r>
            <w:r w:rsidR="00CD459E">
              <w:rPr>
                <w:rFonts w:cs="Arial"/>
                <w:szCs w:val="20"/>
              </w:rPr>
              <w:t>s</w:t>
            </w:r>
            <w:r w:rsidRPr="005759E7">
              <w:rPr>
                <w:rFonts w:cs="Arial"/>
                <w:szCs w:val="20"/>
              </w:rPr>
              <w:t xml:space="preserve">tations </w:t>
            </w:r>
            <w:r w:rsidR="00CD459E">
              <w:rPr>
                <w:rFonts w:cs="Arial"/>
                <w:szCs w:val="20"/>
              </w:rPr>
              <w:t>i</w:t>
            </w:r>
            <w:r w:rsidRPr="005759E7">
              <w:rPr>
                <w:rFonts w:cs="Arial"/>
                <w:szCs w:val="20"/>
              </w:rPr>
              <w:t xml:space="preserve">n </w:t>
            </w:r>
            <w:r w:rsidR="00CD459E">
              <w:rPr>
                <w:rFonts w:cs="Arial"/>
                <w:szCs w:val="20"/>
              </w:rPr>
              <w:t>m</w:t>
            </w:r>
            <w:r w:rsidRPr="005759E7">
              <w:rPr>
                <w:rFonts w:cs="Arial"/>
                <w:szCs w:val="20"/>
              </w:rPr>
              <w:t>otion (ESIM) in Ku</w:t>
            </w:r>
            <w:r w:rsidR="001C517F">
              <w:rPr>
                <w:rFonts w:cs="Arial"/>
                <w:szCs w:val="20"/>
              </w:rPr>
              <w:t>-</w:t>
            </w:r>
            <w:r w:rsidRPr="005759E7">
              <w:rPr>
                <w:rFonts w:cs="Arial"/>
                <w:szCs w:val="20"/>
              </w:rPr>
              <w:t>band</w:t>
            </w:r>
          </w:p>
        </w:tc>
        <w:tc>
          <w:tcPr>
            <w:tcW w:w="842" w:type="pct"/>
            <w:shd w:val="clear" w:color="auto" w:fill="F2F2F2" w:themeFill="background1" w:themeFillShade="F2"/>
          </w:tcPr>
          <w:p w14:paraId="3AAD34B8"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w:t>
            </w:r>
            <w:r w:rsidR="00CE4127">
              <w:rPr>
                <w:rFonts w:cs="Arial"/>
                <w:szCs w:val="20"/>
              </w:rPr>
              <w:t>3</w:t>
            </w:r>
          </w:p>
        </w:tc>
      </w:tr>
      <w:tr w:rsidR="001178EE" w:rsidRPr="006D46E5" w14:paraId="40E44911" w14:textId="77777777" w:rsidTr="0001077C">
        <w:tc>
          <w:tcPr>
            <w:tcW w:w="1107" w:type="pct"/>
            <w:shd w:val="clear" w:color="auto" w:fill="auto"/>
          </w:tcPr>
          <w:p w14:paraId="34BEEC94"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auto"/>
          </w:tcPr>
          <w:p w14:paraId="1B86ABEE" w14:textId="77777777" w:rsidR="001178EE" w:rsidRPr="005759E7" w:rsidRDefault="002E1886" w:rsidP="005270FE">
            <w:pPr>
              <w:pStyle w:val="TableBody"/>
              <w:spacing w:line="240" w:lineRule="atLeast"/>
              <w:ind w:right="176"/>
              <w:mirrorIndents/>
              <w:rPr>
                <w:rFonts w:cs="Arial"/>
                <w:szCs w:val="20"/>
              </w:rPr>
            </w:pPr>
            <w:r w:rsidRPr="005759E7">
              <w:rPr>
                <w:rFonts w:cs="Arial"/>
                <w:szCs w:val="20"/>
              </w:rPr>
              <w:t>Regulatory arrangements</w:t>
            </w:r>
            <w:r w:rsidR="00E6326B" w:rsidRPr="005759E7">
              <w:rPr>
                <w:rFonts w:cs="Arial"/>
                <w:szCs w:val="20"/>
              </w:rPr>
              <w:t>:</w:t>
            </w:r>
          </w:p>
          <w:p w14:paraId="187E8BDA" w14:textId="77777777" w:rsidR="00E07FBF" w:rsidRPr="005759E7" w:rsidRDefault="002E1886" w:rsidP="005270FE">
            <w:pPr>
              <w:pStyle w:val="TableBody"/>
              <w:spacing w:after="120" w:line="240" w:lineRule="atLeast"/>
              <w:ind w:right="176"/>
              <w:mirrorIndents/>
              <w:rPr>
                <w:rFonts w:cs="Arial"/>
                <w:szCs w:val="20"/>
              </w:rPr>
            </w:pPr>
            <w:r w:rsidRPr="005759E7">
              <w:rPr>
                <w:rFonts w:cs="Arial"/>
                <w:szCs w:val="20"/>
              </w:rPr>
              <w:t>General review of licensing procedures for space-based communications systems</w:t>
            </w:r>
          </w:p>
          <w:p w14:paraId="49C7DB20" w14:textId="77777777" w:rsidR="002E1886" w:rsidRPr="005759E7" w:rsidRDefault="002E1886" w:rsidP="005270FE">
            <w:pPr>
              <w:pStyle w:val="TableBody"/>
              <w:spacing w:line="240" w:lineRule="atLeast"/>
              <w:ind w:right="176"/>
              <w:mirrorIndents/>
              <w:rPr>
                <w:rFonts w:cs="Arial"/>
                <w:szCs w:val="20"/>
              </w:rPr>
            </w:pPr>
            <w:r w:rsidRPr="005759E7">
              <w:rPr>
                <w:rFonts w:cs="Arial"/>
                <w:szCs w:val="20"/>
              </w:rPr>
              <w:t>Commence update of regulatory arrangements for small satellites</w:t>
            </w:r>
          </w:p>
        </w:tc>
        <w:tc>
          <w:tcPr>
            <w:tcW w:w="842" w:type="pct"/>
            <w:shd w:val="clear" w:color="auto" w:fill="auto"/>
          </w:tcPr>
          <w:p w14:paraId="132E258E" w14:textId="77777777" w:rsidR="00E07FBF" w:rsidRPr="005759E7" w:rsidRDefault="001178EE" w:rsidP="005270FE">
            <w:pPr>
              <w:pStyle w:val="TableBody"/>
              <w:spacing w:after="600" w:line="240" w:lineRule="atLeast"/>
              <w:mirrorIndents/>
              <w:rPr>
                <w:rFonts w:cs="Arial"/>
                <w:szCs w:val="20"/>
              </w:rPr>
            </w:pPr>
            <w:r w:rsidRPr="005759E7">
              <w:rPr>
                <w:rFonts w:cs="Arial"/>
                <w:szCs w:val="20"/>
              </w:rPr>
              <w:t xml:space="preserve">Q2 </w:t>
            </w:r>
          </w:p>
          <w:p w14:paraId="6C6384A3" w14:textId="77777777" w:rsidR="001178EE" w:rsidRPr="005759E7" w:rsidRDefault="002E1886" w:rsidP="005270FE">
            <w:pPr>
              <w:pStyle w:val="TableBody"/>
              <w:spacing w:line="240" w:lineRule="atLeast"/>
              <w:mirrorIndents/>
              <w:rPr>
                <w:rFonts w:cs="Arial"/>
                <w:szCs w:val="20"/>
              </w:rPr>
            </w:pPr>
            <w:r w:rsidRPr="005759E7">
              <w:rPr>
                <w:rFonts w:cs="Arial"/>
                <w:szCs w:val="20"/>
              </w:rPr>
              <w:t>Q2</w:t>
            </w:r>
            <w:r w:rsidR="00CE4127">
              <w:rPr>
                <w:rFonts w:cs="Arial"/>
                <w:szCs w:val="20"/>
              </w:rPr>
              <w:t xml:space="preserve"> </w:t>
            </w:r>
          </w:p>
        </w:tc>
      </w:tr>
      <w:tr w:rsidR="001178EE" w:rsidRPr="006D46E5" w14:paraId="0541198A" w14:textId="77777777" w:rsidTr="0001077C">
        <w:tc>
          <w:tcPr>
            <w:tcW w:w="1107" w:type="pct"/>
            <w:shd w:val="clear" w:color="auto" w:fill="F2F2F2" w:themeFill="background1" w:themeFillShade="F2"/>
          </w:tcPr>
          <w:p w14:paraId="10D3E1BA" w14:textId="77777777" w:rsidR="001178EE" w:rsidRPr="005759E7" w:rsidRDefault="001178EE"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F2F2F2" w:themeFill="background1" w:themeFillShade="F2"/>
          </w:tcPr>
          <w:p w14:paraId="2B875A2A" w14:textId="77777777" w:rsidR="001178EE" w:rsidRPr="005759E7" w:rsidRDefault="002E1886" w:rsidP="00E07FBF">
            <w:pPr>
              <w:pStyle w:val="TableBody"/>
              <w:spacing w:before="100" w:beforeAutospacing="1" w:after="100" w:afterAutospacing="1" w:line="240" w:lineRule="atLeast"/>
              <w:contextualSpacing/>
              <w:mirrorIndents/>
              <w:rPr>
                <w:rFonts w:cs="Arial"/>
                <w:szCs w:val="20"/>
              </w:rPr>
            </w:pPr>
            <w:r w:rsidRPr="005759E7">
              <w:rPr>
                <w:rFonts w:cs="Arial"/>
                <w:szCs w:val="20"/>
              </w:rPr>
              <w:t>Consider applications for test and demonstration purposes in the 2 GHz band</w:t>
            </w:r>
          </w:p>
        </w:tc>
        <w:tc>
          <w:tcPr>
            <w:tcW w:w="842" w:type="pct"/>
            <w:shd w:val="clear" w:color="auto" w:fill="F2F2F2" w:themeFill="background1" w:themeFillShade="F2"/>
          </w:tcPr>
          <w:p w14:paraId="029ABC94" w14:textId="77777777" w:rsidR="001178EE" w:rsidRPr="005759E7" w:rsidRDefault="002E1886" w:rsidP="00E07FBF">
            <w:pPr>
              <w:pStyle w:val="TableBody"/>
              <w:spacing w:before="100" w:beforeAutospacing="1" w:after="100" w:afterAutospacing="1" w:line="240" w:lineRule="atLeast"/>
              <w:contextualSpacing/>
              <w:mirrorIndents/>
              <w:rPr>
                <w:rFonts w:cs="Arial"/>
                <w:szCs w:val="20"/>
              </w:rPr>
            </w:pPr>
            <w:r w:rsidRPr="005759E7">
              <w:rPr>
                <w:rFonts w:cs="Arial"/>
                <w:szCs w:val="20"/>
              </w:rPr>
              <w:t>Ongoing</w:t>
            </w:r>
          </w:p>
        </w:tc>
      </w:tr>
      <w:tr w:rsidR="001178EE" w:rsidRPr="006D46E5" w14:paraId="1BE9797D" w14:textId="77777777" w:rsidTr="0001077C">
        <w:tc>
          <w:tcPr>
            <w:tcW w:w="1107" w:type="pct"/>
            <w:shd w:val="clear" w:color="auto" w:fill="auto"/>
          </w:tcPr>
          <w:p w14:paraId="2D7D7736" w14:textId="77777777" w:rsidR="001178EE" w:rsidRPr="005759E7" w:rsidRDefault="001178EE"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Satellite</w:t>
            </w:r>
          </w:p>
        </w:tc>
        <w:tc>
          <w:tcPr>
            <w:tcW w:w="3051" w:type="pct"/>
            <w:shd w:val="clear" w:color="auto" w:fill="auto"/>
          </w:tcPr>
          <w:p w14:paraId="4153264E" w14:textId="77777777" w:rsidR="001178EE" w:rsidRPr="005759E7" w:rsidRDefault="002E1886"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Manage filing and coordination of Australian satellite systems</w:t>
            </w:r>
          </w:p>
        </w:tc>
        <w:tc>
          <w:tcPr>
            <w:tcW w:w="842" w:type="pct"/>
            <w:shd w:val="clear" w:color="auto" w:fill="auto"/>
          </w:tcPr>
          <w:p w14:paraId="2DF144CF"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Ongoing </w:t>
            </w:r>
          </w:p>
        </w:tc>
      </w:tr>
      <w:tr w:rsidR="001178EE" w:rsidRPr="006D46E5" w14:paraId="662F7F08" w14:textId="77777777" w:rsidTr="0001077C">
        <w:tc>
          <w:tcPr>
            <w:tcW w:w="1107" w:type="pct"/>
            <w:shd w:val="clear" w:color="auto" w:fill="F2F2F2" w:themeFill="background1" w:themeFillShade="F2"/>
          </w:tcPr>
          <w:p w14:paraId="66E68467" w14:textId="77777777" w:rsidR="001178EE" w:rsidRPr="005759E7" w:rsidRDefault="001178EE" w:rsidP="00E07FB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Low interference potential devices (LIPD)</w:t>
            </w:r>
          </w:p>
        </w:tc>
        <w:tc>
          <w:tcPr>
            <w:tcW w:w="3051" w:type="pct"/>
            <w:shd w:val="clear" w:color="auto" w:fill="F2F2F2" w:themeFill="background1" w:themeFillShade="F2"/>
          </w:tcPr>
          <w:p w14:paraId="34725503" w14:textId="77777777" w:rsidR="007B79CC" w:rsidRPr="005759E7" w:rsidRDefault="005270FE" w:rsidP="001B1B7A">
            <w:pPr>
              <w:pStyle w:val="TableBody"/>
              <w:spacing w:before="100" w:beforeAutospacing="1" w:after="100" w:afterAutospacing="1" w:line="240" w:lineRule="atLeast"/>
              <w:ind w:right="176"/>
              <w:contextualSpacing/>
              <w:mirrorIndents/>
              <w:rPr>
                <w:rFonts w:cs="Arial"/>
                <w:szCs w:val="20"/>
              </w:rPr>
            </w:pPr>
            <w:r w:rsidRPr="001B1B7A">
              <w:rPr>
                <w:rFonts w:cs="Arial"/>
                <w:noProof/>
              </w:rPr>
              <w:drawing>
                <wp:inline distT="0" distB="0" distL="0" distR="0" wp14:anchorId="5A4C3B9E" wp14:editId="399804C6">
                  <wp:extent cx="207010" cy="152400"/>
                  <wp:effectExtent l="0" t="0" r="2540" b="0"/>
                  <wp:docPr id="9" name="Picture 9"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rPr>
                <w:rFonts w:cs="Arial"/>
                <w:szCs w:val="20"/>
              </w:rPr>
              <w:t xml:space="preserve"> </w:t>
            </w:r>
            <w:r w:rsidR="003D4016">
              <w:rPr>
                <w:rFonts w:cs="Arial"/>
                <w:szCs w:val="20"/>
              </w:rPr>
              <w:t>Consultation on proposed update of the LIPD to respond to industry</w:t>
            </w:r>
            <w:r w:rsidR="00135353" w:rsidRPr="005759E7">
              <w:rPr>
                <w:rFonts w:cs="Arial"/>
                <w:szCs w:val="20"/>
              </w:rPr>
              <w:t xml:space="preserve"> requests</w:t>
            </w:r>
          </w:p>
        </w:tc>
        <w:tc>
          <w:tcPr>
            <w:tcW w:w="842" w:type="pct"/>
            <w:shd w:val="clear" w:color="auto" w:fill="F2F2F2" w:themeFill="background1" w:themeFillShade="F2"/>
          </w:tcPr>
          <w:p w14:paraId="213415A8" w14:textId="77777777" w:rsidR="001178EE" w:rsidRPr="005759E7" w:rsidRDefault="007B79CC" w:rsidP="00E07FBF">
            <w:pPr>
              <w:pStyle w:val="TableBody"/>
              <w:spacing w:before="100" w:beforeAutospacing="1" w:after="100" w:afterAutospacing="1" w:line="240" w:lineRule="atLeast"/>
              <w:contextualSpacing/>
              <w:mirrorIndents/>
              <w:rPr>
                <w:rFonts w:cs="Arial"/>
                <w:szCs w:val="20"/>
              </w:rPr>
            </w:pPr>
            <w:r>
              <w:rPr>
                <w:rFonts w:cs="Arial"/>
                <w:szCs w:val="20"/>
              </w:rPr>
              <w:t>Q2</w:t>
            </w:r>
          </w:p>
        </w:tc>
      </w:tr>
      <w:tr w:rsidR="001178EE" w:rsidRPr="006D46E5" w14:paraId="70BC94A7" w14:textId="77777777" w:rsidTr="0001077C">
        <w:trPr>
          <w:trHeight w:val="21"/>
        </w:trPr>
        <w:tc>
          <w:tcPr>
            <w:tcW w:w="1107" w:type="pct"/>
            <w:shd w:val="clear" w:color="auto" w:fill="auto"/>
          </w:tcPr>
          <w:p w14:paraId="47294E2B" w14:textId="77777777" w:rsidR="001178EE" w:rsidRPr="005759E7" w:rsidRDefault="001178EE" w:rsidP="005270FE">
            <w:pPr>
              <w:pStyle w:val="TableBody"/>
              <w:spacing w:before="100" w:beforeAutospacing="1" w:after="100" w:afterAutospacing="1" w:line="240" w:lineRule="atLeast"/>
              <w:ind w:right="176"/>
              <w:contextualSpacing/>
              <w:mirrorIndents/>
              <w:rPr>
                <w:rFonts w:cs="Arial"/>
                <w:szCs w:val="20"/>
              </w:rPr>
            </w:pPr>
            <w:r w:rsidRPr="005759E7">
              <w:rPr>
                <w:rFonts w:cs="Arial"/>
                <w:szCs w:val="20"/>
              </w:rPr>
              <w:t>Internet of Things (</w:t>
            </w:r>
            <w:r w:rsidR="005270FE">
              <w:rPr>
                <w:rFonts w:cs="Arial"/>
                <w:szCs w:val="20"/>
              </w:rPr>
              <w:t>IoT</w:t>
            </w:r>
            <w:r w:rsidRPr="005759E7">
              <w:rPr>
                <w:rFonts w:cs="Arial"/>
                <w:szCs w:val="20"/>
              </w:rPr>
              <w:t>)</w:t>
            </w:r>
          </w:p>
        </w:tc>
        <w:tc>
          <w:tcPr>
            <w:tcW w:w="3051" w:type="pct"/>
            <w:shd w:val="clear" w:color="auto" w:fill="auto"/>
          </w:tcPr>
          <w:p w14:paraId="16A88F8E" w14:textId="77777777" w:rsidR="001178EE" w:rsidRPr="005759E7" w:rsidRDefault="002E1886" w:rsidP="001C517F">
            <w:pPr>
              <w:pStyle w:val="TableBody"/>
              <w:spacing w:before="100" w:beforeAutospacing="1" w:after="100" w:afterAutospacing="1" w:line="240" w:lineRule="atLeast"/>
              <w:ind w:right="176"/>
              <w:contextualSpacing/>
              <w:mirrorIndents/>
              <w:rPr>
                <w:rFonts w:cs="Arial"/>
                <w:szCs w:val="20"/>
              </w:rPr>
            </w:pPr>
            <w:r w:rsidRPr="005759E7">
              <w:rPr>
                <w:rFonts w:cs="Arial"/>
                <w:szCs w:val="20"/>
              </w:rPr>
              <w:t>Facilitation of early access to the 928</w:t>
            </w:r>
            <w:r w:rsidR="007835D5" w:rsidRPr="005759E7">
              <w:rPr>
                <w:rFonts w:cs="Arial"/>
                <w:szCs w:val="20"/>
              </w:rPr>
              <w:t>–</w:t>
            </w:r>
            <w:r w:rsidRPr="005759E7">
              <w:rPr>
                <w:rFonts w:cs="Arial"/>
                <w:szCs w:val="20"/>
              </w:rPr>
              <w:t xml:space="preserve">935 MHz band </w:t>
            </w:r>
            <w:r w:rsidRPr="002B2257">
              <w:rPr>
                <w:rFonts w:cs="Arial"/>
                <w:szCs w:val="20"/>
              </w:rPr>
              <w:t>for low power wide area</w:t>
            </w:r>
            <w:r w:rsidRPr="005759E7">
              <w:rPr>
                <w:rFonts w:cs="Arial"/>
                <w:szCs w:val="20"/>
              </w:rPr>
              <w:t xml:space="preserve"> </w:t>
            </w:r>
            <w:r w:rsidRPr="005270FE">
              <w:rPr>
                <w:rFonts w:cs="Arial"/>
                <w:szCs w:val="20"/>
              </w:rPr>
              <w:t>IoT</w:t>
            </w:r>
            <w:r w:rsidRPr="005759E7">
              <w:rPr>
                <w:rFonts w:cs="Arial"/>
                <w:szCs w:val="20"/>
              </w:rPr>
              <w:t xml:space="preserve"> applications</w:t>
            </w:r>
          </w:p>
        </w:tc>
        <w:tc>
          <w:tcPr>
            <w:tcW w:w="842" w:type="pct"/>
            <w:shd w:val="clear" w:color="auto" w:fill="auto"/>
          </w:tcPr>
          <w:p w14:paraId="5B97FC72" w14:textId="77777777" w:rsidR="001178EE" w:rsidRPr="005759E7" w:rsidRDefault="001178EE"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Ongoing </w:t>
            </w:r>
          </w:p>
        </w:tc>
      </w:tr>
    </w:tbl>
    <w:p w14:paraId="0D9FB272" w14:textId="77777777" w:rsidR="0058077F" w:rsidRPr="007538FB" w:rsidRDefault="0058077F" w:rsidP="005270FE">
      <w:pPr>
        <w:pStyle w:val="ACMASpaceaftertable"/>
      </w:pPr>
    </w:p>
    <w:p w14:paraId="428D88EB" w14:textId="77777777" w:rsidR="00201FB7" w:rsidRDefault="00CF4F74" w:rsidP="005270FE">
      <w:pPr>
        <w:pStyle w:val="ACMATableHeader"/>
      </w:pPr>
      <w:r w:rsidRPr="000F48E2">
        <w:rPr>
          <w:rFonts w:cs="Arial"/>
          <w:noProof/>
        </w:rPr>
        <w:drawing>
          <wp:inline distT="0" distB="0" distL="0" distR="0" wp14:anchorId="17FBFABF" wp14:editId="38CF2A8F">
            <wp:extent cx="207010" cy="152400"/>
            <wp:effectExtent l="0" t="0" r="2540" b="0"/>
            <wp:docPr id="6" name="Picture 6"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5270FE">
        <w:t xml:space="preserve"> </w:t>
      </w:r>
      <w:r w:rsidR="00CB2B01">
        <w:t xml:space="preserve">Major </w:t>
      </w:r>
      <w:r w:rsidR="00CB2B01" w:rsidRPr="007538FB">
        <w:t>price</w:t>
      </w:r>
      <w:r w:rsidR="00CB2B01">
        <w:t>-based allocations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1715"/>
        <w:gridCol w:w="5946"/>
      </w:tblGrid>
      <w:tr w:rsidR="009116B7" w:rsidRPr="006D46E5" w14:paraId="5042B5AA" w14:textId="77777777" w:rsidTr="0001077C">
        <w:tc>
          <w:tcPr>
            <w:tcW w:w="1119" w:type="pct"/>
            <w:shd w:val="clear" w:color="auto" w:fill="404040" w:themeFill="text1" w:themeFillTint="BF"/>
          </w:tcPr>
          <w:p w14:paraId="4ACA807A" w14:textId="77777777" w:rsidR="009116B7" w:rsidRPr="006D46E5" w:rsidRDefault="009116B7" w:rsidP="00B747E1">
            <w:pPr>
              <w:pStyle w:val="TableHeading"/>
            </w:pPr>
            <w:r>
              <w:t>Project priorities</w:t>
            </w:r>
          </w:p>
        </w:tc>
        <w:tc>
          <w:tcPr>
            <w:tcW w:w="3881" w:type="pct"/>
            <w:shd w:val="clear" w:color="auto" w:fill="404040" w:themeFill="text1" w:themeFillTint="BF"/>
          </w:tcPr>
          <w:p w14:paraId="55AFB1BE" w14:textId="77777777" w:rsidR="009116B7" w:rsidRPr="006D46E5" w:rsidRDefault="009116B7" w:rsidP="00B747E1">
            <w:pPr>
              <w:pStyle w:val="TableHeading"/>
            </w:pPr>
            <w:r>
              <w:t>Proposed timelines</w:t>
            </w:r>
          </w:p>
        </w:tc>
      </w:tr>
      <w:tr w:rsidR="009116B7" w:rsidRPr="006D46E5" w14:paraId="1FFF8D94" w14:textId="77777777" w:rsidTr="0001077C">
        <w:tc>
          <w:tcPr>
            <w:tcW w:w="1119" w:type="pct"/>
          </w:tcPr>
          <w:p w14:paraId="2A402D53"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3.6 GHz</w:t>
            </w:r>
          </w:p>
        </w:tc>
        <w:tc>
          <w:tcPr>
            <w:tcW w:w="3881" w:type="pct"/>
          </w:tcPr>
          <w:p w14:paraId="7B179893" w14:textId="77777777" w:rsidR="009116B7" w:rsidRPr="005759E7" w:rsidRDefault="00147B0D" w:rsidP="005270FE">
            <w:pPr>
              <w:pStyle w:val="TableBody"/>
              <w:spacing w:after="120" w:line="240" w:lineRule="atLeast"/>
              <w:mirrorIndents/>
              <w:rPr>
                <w:rFonts w:cs="Arial"/>
                <w:szCs w:val="20"/>
              </w:rPr>
            </w:pPr>
            <w:r>
              <w:rPr>
                <w:rFonts w:cs="Arial"/>
                <w:szCs w:val="20"/>
              </w:rPr>
              <w:t>Q4</w:t>
            </w:r>
            <w:r w:rsidR="00CB2B01">
              <w:rPr>
                <w:rFonts w:cs="Arial"/>
                <w:szCs w:val="20"/>
              </w:rPr>
              <w:t xml:space="preserve"> 2017–</w:t>
            </w:r>
            <w:r w:rsidR="00A5154C">
              <w:rPr>
                <w:rFonts w:cs="Arial"/>
                <w:szCs w:val="20"/>
              </w:rPr>
              <w:t xml:space="preserve">18: </w:t>
            </w:r>
            <w:r w:rsidR="00D456EC" w:rsidRPr="005759E7">
              <w:rPr>
                <w:rFonts w:cs="Arial"/>
                <w:szCs w:val="20"/>
              </w:rPr>
              <w:t>F</w:t>
            </w:r>
            <w:r w:rsidR="009116B7" w:rsidRPr="005759E7">
              <w:rPr>
                <w:rFonts w:cs="Arial"/>
                <w:szCs w:val="20"/>
              </w:rPr>
              <w:t>inal applicant information pack</w:t>
            </w:r>
            <w:r w:rsidR="007538FB">
              <w:rPr>
                <w:rFonts w:cs="Arial"/>
                <w:szCs w:val="20"/>
              </w:rPr>
              <w:t>age</w:t>
            </w:r>
            <w:r w:rsidR="009116B7" w:rsidRPr="005759E7">
              <w:rPr>
                <w:rFonts w:cs="Arial"/>
                <w:szCs w:val="20"/>
              </w:rPr>
              <w:t xml:space="preserve"> released</w:t>
            </w:r>
          </w:p>
          <w:p w14:paraId="53452DEC"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Q2 </w:t>
            </w:r>
            <w:r w:rsidR="00CB2B01">
              <w:rPr>
                <w:rFonts w:cs="Arial"/>
                <w:szCs w:val="20"/>
              </w:rPr>
              <w:t>2018–</w:t>
            </w:r>
            <w:r w:rsidR="00A5154C">
              <w:rPr>
                <w:rFonts w:cs="Arial"/>
                <w:szCs w:val="20"/>
              </w:rPr>
              <w:t xml:space="preserve">19 </w:t>
            </w:r>
            <w:r w:rsidRPr="005759E7">
              <w:rPr>
                <w:rFonts w:cs="Arial"/>
                <w:szCs w:val="20"/>
              </w:rPr>
              <w:t>(</w:t>
            </w:r>
            <w:r w:rsidR="00CF4F74">
              <w:rPr>
                <w:rFonts w:cs="Arial"/>
                <w:szCs w:val="20"/>
              </w:rPr>
              <w:t>November</w:t>
            </w:r>
            <w:r w:rsidRPr="005759E7">
              <w:rPr>
                <w:rFonts w:cs="Arial"/>
                <w:szCs w:val="20"/>
              </w:rPr>
              <w:t>)</w:t>
            </w:r>
            <w:r w:rsidR="00D456EC" w:rsidRPr="005759E7">
              <w:rPr>
                <w:rFonts w:cs="Arial"/>
                <w:szCs w:val="20"/>
              </w:rPr>
              <w:t>:</w:t>
            </w:r>
            <w:r w:rsidRPr="005759E7">
              <w:rPr>
                <w:rFonts w:cs="Arial"/>
                <w:szCs w:val="20"/>
              </w:rPr>
              <w:t xml:space="preserve"> </w:t>
            </w:r>
            <w:r w:rsidR="00D456EC" w:rsidRPr="005759E7">
              <w:rPr>
                <w:rFonts w:cs="Arial"/>
                <w:szCs w:val="20"/>
              </w:rPr>
              <w:t>A</w:t>
            </w:r>
            <w:r w:rsidRPr="005759E7">
              <w:rPr>
                <w:rFonts w:cs="Arial"/>
                <w:szCs w:val="20"/>
              </w:rPr>
              <w:t xml:space="preserve">uction </w:t>
            </w:r>
            <w:r w:rsidR="00DA7873" w:rsidRPr="005759E7">
              <w:rPr>
                <w:rFonts w:cs="Arial"/>
                <w:szCs w:val="20"/>
              </w:rPr>
              <w:t>commence</w:t>
            </w:r>
            <w:r w:rsidR="00DA7873">
              <w:rPr>
                <w:rFonts w:cs="Arial"/>
                <w:szCs w:val="20"/>
              </w:rPr>
              <w:t>s</w:t>
            </w:r>
          </w:p>
        </w:tc>
      </w:tr>
      <w:tr w:rsidR="009116B7" w:rsidRPr="006D46E5" w14:paraId="2DE2D4F3" w14:textId="77777777" w:rsidTr="0001077C">
        <w:tc>
          <w:tcPr>
            <w:tcW w:w="1119" w:type="pct"/>
            <w:shd w:val="clear" w:color="auto" w:fill="F2F2F2" w:themeFill="background1" w:themeFillShade="F2"/>
          </w:tcPr>
          <w:p w14:paraId="29E72E40"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26 GHz</w:t>
            </w:r>
          </w:p>
        </w:tc>
        <w:tc>
          <w:tcPr>
            <w:tcW w:w="3881" w:type="pct"/>
            <w:shd w:val="clear" w:color="auto" w:fill="F2F2F2" w:themeFill="background1" w:themeFillShade="F2"/>
          </w:tcPr>
          <w:p w14:paraId="24E60BAB" w14:textId="77777777" w:rsidR="009116B7" w:rsidRPr="005759E7" w:rsidRDefault="009116B7" w:rsidP="005270FE">
            <w:pPr>
              <w:pStyle w:val="TableBody"/>
              <w:spacing w:after="120" w:line="240" w:lineRule="atLeast"/>
              <w:mirrorIndents/>
              <w:rPr>
                <w:rFonts w:cs="Arial"/>
                <w:szCs w:val="20"/>
              </w:rPr>
            </w:pPr>
            <w:r w:rsidRPr="005759E7">
              <w:rPr>
                <w:rFonts w:cs="Arial"/>
                <w:szCs w:val="20"/>
              </w:rPr>
              <w:t>Q</w:t>
            </w:r>
            <w:r w:rsidR="00E74B57">
              <w:rPr>
                <w:rFonts w:cs="Arial"/>
                <w:szCs w:val="20"/>
              </w:rPr>
              <w:t>2</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ACMA planning decision*</w:t>
            </w:r>
          </w:p>
          <w:p w14:paraId="285A5E5D" w14:textId="77777777" w:rsidR="009116B7" w:rsidRPr="005759E7" w:rsidRDefault="009116B7" w:rsidP="005270FE">
            <w:pPr>
              <w:pStyle w:val="TableBody"/>
              <w:spacing w:line="240" w:lineRule="atLeast"/>
              <w:mirrorIndents/>
              <w:rPr>
                <w:rFonts w:cs="Arial"/>
                <w:szCs w:val="20"/>
              </w:rPr>
            </w:pPr>
            <w:r w:rsidRPr="005759E7">
              <w:rPr>
                <w:rFonts w:cs="Arial"/>
                <w:szCs w:val="20"/>
              </w:rPr>
              <w:t>Q</w:t>
            </w:r>
            <w:r w:rsidR="00CF4F74">
              <w:rPr>
                <w:rFonts w:cs="Arial"/>
                <w:szCs w:val="20"/>
              </w:rPr>
              <w:t>4</w:t>
            </w:r>
            <w:r w:rsidR="00CB2B01">
              <w:rPr>
                <w:rFonts w:cs="Arial"/>
                <w:szCs w:val="20"/>
              </w:rPr>
              <w:t xml:space="preserve"> 2018–</w:t>
            </w:r>
            <w:r w:rsidR="00A5154C">
              <w:rPr>
                <w:rFonts w:cs="Arial"/>
                <w:szCs w:val="20"/>
              </w:rPr>
              <w:t>19</w:t>
            </w:r>
            <w:r w:rsidR="00D456EC" w:rsidRPr="005759E7">
              <w:rPr>
                <w:rFonts w:cs="Arial"/>
                <w:szCs w:val="20"/>
              </w:rPr>
              <w:t>:</w:t>
            </w:r>
            <w:r w:rsidRPr="005759E7">
              <w:rPr>
                <w:rFonts w:cs="Arial"/>
                <w:szCs w:val="20"/>
              </w:rPr>
              <w:t xml:space="preserve"> </w:t>
            </w:r>
            <w:r w:rsidR="00D456EC" w:rsidRPr="008B6F4A">
              <w:rPr>
                <w:rFonts w:cs="Arial"/>
                <w:szCs w:val="20"/>
              </w:rPr>
              <w:t>R</w:t>
            </w:r>
            <w:r w:rsidRPr="008B6F4A">
              <w:rPr>
                <w:rFonts w:cs="Arial"/>
                <w:szCs w:val="20"/>
              </w:rPr>
              <w:t>eallocation</w:t>
            </w:r>
            <w:r w:rsidRPr="005759E7">
              <w:rPr>
                <w:rFonts w:cs="Arial"/>
                <w:szCs w:val="20"/>
              </w:rPr>
              <w:t xml:space="preserve"> decision</w:t>
            </w:r>
          </w:p>
        </w:tc>
      </w:tr>
      <w:tr w:rsidR="009116B7" w:rsidRPr="006D46E5" w14:paraId="7191619D" w14:textId="77777777" w:rsidTr="0001077C">
        <w:tc>
          <w:tcPr>
            <w:tcW w:w="1119" w:type="pct"/>
            <w:shd w:val="clear" w:color="auto" w:fill="auto"/>
          </w:tcPr>
          <w:p w14:paraId="72104CD6"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850/900 MHz</w:t>
            </w:r>
          </w:p>
        </w:tc>
        <w:tc>
          <w:tcPr>
            <w:tcW w:w="3881" w:type="pct"/>
            <w:shd w:val="clear" w:color="auto" w:fill="auto"/>
          </w:tcPr>
          <w:p w14:paraId="7660906B" w14:textId="33A36F47" w:rsidR="009116B7" w:rsidRPr="005759E7" w:rsidRDefault="00673277" w:rsidP="005270FE">
            <w:pPr>
              <w:pStyle w:val="TableBody"/>
              <w:spacing w:before="100" w:beforeAutospacing="1" w:after="100" w:afterAutospacing="1" w:line="240" w:lineRule="atLeast"/>
              <w:contextualSpacing/>
              <w:mirrorIndents/>
              <w:rPr>
                <w:rFonts w:cs="Arial"/>
                <w:szCs w:val="20"/>
              </w:rPr>
            </w:pPr>
            <w:r>
              <w:t>Q1-2 2019-20</w:t>
            </w:r>
            <w:r w:rsidR="00D456EC" w:rsidRPr="005759E7">
              <w:rPr>
                <w:rFonts w:cs="Arial"/>
                <w:szCs w:val="20"/>
              </w:rPr>
              <w:t>:</w:t>
            </w:r>
            <w:r w:rsidR="009116B7" w:rsidRPr="005759E7">
              <w:rPr>
                <w:rFonts w:cs="Arial"/>
                <w:szCs w:val="20"/>
              </w:rPr>
              <w:t xml:space="preserve"> </w:t>
            </w:r>
            <w:r w:rsidR="00F65F83">
              <w:rPr>
                <w:rFonts w:cs="Arial"/>
                <w:szCs w:val="20"/>
              </w:rPr>
              <w:t>Finalisation of reconfiguration method for 900 MHz band and associated timeframes</w:t>
            </w:r>
          </w:p>
        </w:tc>
      </w:tr>
      <w:tr w:rsidR="009116B7" w:rsidRPr="006D46E5" w14:paraId="5088D1EC" w14:textId="77777777" w:rsidTr="0001077C">
        <w:trPr>
          <w:trHeight w:val="189"/>
        </w:trPr>
        <w:tc>
          <w:tcPr>
            <w:tcW w:w="1119" w:type="pct"/>
            <w:shd w:val="clear" w:color="auto" w:fill="F2F2F2" w:themeFill="background1" w:themeFillShade="F2"/>
          </w:tcPr>
          <w:p w14:paraId="715AB0E7" w14:textId="77777777" w:rsidR="009116B7" w:rsidRPr="005759E7" w:rsidRDefault="009116B7" w:rsidP="005270FE">
            <w:pPr>
              <w:pStyle w:val="TableBody"/>
              <w:spacing w:line="240" w:lineRule="atLeast"/>
              <w:mirrorIndents/>
              <w:rPr>
                <w:rFonts w:cs="Arial"/>
                <w:szCs w:val="20"/>
              </w:rPr>
            </w:pPr>
            <w:r w:rsidRPr="005759E7">
              <w:rPr>
                <w:rFonts w:cs="Arial"/>
                <w:szCs w:val="20"/>
              </w:rPr>
              <w:t>1.5 GHz</w:t>
            </w:r>
          </w:p>
        </w:tc>
        <w:tc>
          <w:tcPr>
            <w:tcW w:w="3881" w:type="pct"/>
            <w:shd w:val="clear" w:color="auto" w:fill="F2F2F2" w:themeFill="background1" w:themeFillShade="F2"/>
          </w:tcPr>
          <w:p w14:paraId="3F418B46" w14:textId="77777777" w:rsidR="00C10A83" w:rsidRPr="005759E7" w:rsidRDefault="00C10A83" w:rsidP="005270FE">
            <w:pPr>
              <w:pStyle w:val="TableBody"/>
              <w:spacing w:line="240" w:lineRule="atLeast"/>
              <w:mirrorIndents/>
              <w:rPr>
                <w:rFonts w:cs="Arial"/>
                <w:szCs w:val="20"/>
              </w:rPr>
            </w:pPr>
            <w:r>
              <w:rPr>
                <w:rFonts w:cs="Arial"/>
                <w:szCs w:val="20"/>
              </w:rPr>
              <w:t>Q3 2020</w:t>
            </w:r>
            <w:r w:rsidR="007538FB">
              <w:rPr>
                <w:rFonts w:cs="Arial"/>
                <w:szCs w:val="20"/>
              </w:rPr>
              <w:t>–</w:t>
            </w:r>
            <w:r>
              <w:rPr>
                <w:rFonts w:cs="Arial"/>
                <w:szCs w:val="20"/>
              </w:rPr>
              <w:t>2021</w:t>
            </w:r>
            <w:r w:rsidR="005270FE">
              <w:rPr>
                <w:rFonts w:cs="Arial"/>
                <w:szCs w:val="20"/>
              </w:rPr>
              <w:t>:</w:t>
            </w:r>
            <w:r>
              <w:rPr>
                <w:rFonts w:cs="Arial"/>
                <w:szCs w:val="20"/>
              </w:rPr>
              <w:t xml:space="preserve"> ACMA planning decision</w:t>
            </w:r>
          </w:p>
        </w:tc>
      </w:tr>
    </w:tbl>
    <w:p w14:paraId="2BEA2E3E" w14:textId="77777777" w:rsidR="009116B7" w:rsidRDefault="009116B7" w:rsidP="005270FE">
      <w:pPr>
        <w:pStyle w:val="ACMANotes"/>
        <w:spacing w:before="0" w:line="240" w:lineRule="atLeast"/>
        <w:mirrorIndents/>
      </w:pPr>
      <w:r>
        <w:t xml:space="preserve">*Based on Scenario 1 in the forward allocation </w:t>
      </w:r>
      <w:r w:rsidR="00BA6010">
        <w:t>work plan</w:t>
      </w:r>
      <w:r w:rsidR="007538FB">
        <w:t>.</w:t>
      </w:r>
    </w:p>
    <w:p w14:paraId="51FCBC64" w14:textId="77777777" w:rsidR="001A5088" w:rsidRPr="007538FB" w:rsidRDefault="001A5088" w:rsidP="005270FE">
      <w:pPr>
        <w:pStyle w:val="ACMASpaceaftertable"/>
      </w:pPr>
    </w:p>
    <w:p w14:paraId="67D4272F" w14:textId="77777777" w:rsidR="009116B7" w:rsidRDefault="009116B7" w:rsidP="005270FE">
      <w:pPr>
        <w:pStyle w:val="ACMATableHeader"/>
        <w:keepNext/>
      </w:pPr>
      <w:r>
        <w:lastRenderedPageBreak/>
        <w:t xml:space="preserve">Regulatory review and </w:t>
      </w:r>
      <w:r w:rsidRPr="007538FB">
        <w:t>reform</w:t>
      </w:r>
      <w:r>
        <w:t xml:space="preserve"> (Spectrum </w:t>
      </w:r>
      <w:r w:rsidR="00D456EC">
        <w:t>R</w:t>
      </w:r>
      <w:r>
        <w:t>eview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48"/>
        <w:gridCol w:w="5013"/>
      </w:tblGrid>
      <w:tr w:rsidR="009116B7" w:rsidRPr="006D46E5" w14:paraId="226D7C07" w14:textId="77777777" w:rsidTr="00BE6916">
        <w:trPr>
          <w:tblHeader/>
        </w:trPr>
        <w:tc>
          <w:tcPr>
            <w:tcW w:w="1728" w:type="pct"/>
            <w:shd w:val="clear" w:color="auto" w:fill="404040" w:themeFill="text1" w:themeFillTint="BF"/>
          </w:tcPr>
          <w:p w14:paraId="50F034A1" w14:textId="77777777" w:rsidR="009116B7" w:rsidRPr="006D46E5" w:rsidRDefault="009116B7" w:rsidP="00B747E1">
            <w:pPr>
              <w:pStyle w:val="TableHeading"/>
            </w:pPr>
            <w:r>
              <w:t>Project priorities</w:t>
            </w:r>
          </w:p>
        </w:tc>
        <w:tc>
          <w:tcPr>
            <w:tcW w:w="3272" w:type="pct"/>
            <w:shd w:val="clear" w:color="auto" w:fill="404040" w:themeFill="text1" w:themeFillTint="BF"/>
          </w:tcPr>
          <w:p w14:paraId="2A1FD650" w14:textId="77777777" w:rsidR="009116B7" w:rsidRPr="006D46E5" w:rsidRDefault="009116B7" w:rsidP="00B747E1">
            <w:pPr>
              <w:pStyle w:val="TableHeading"/>
            </w:pPr>
            <w:r>
              <w:t>Proposed timelines</w:t>
            </w:r>
          </w:p>
        </w:tc>
      </w:tr>
      <w:tr w:rsidR="009116B7" w:rsidRPr="006D46E5" w14:paraId="727C81C7" w14:textId="77777777" w:rsidTr="00BE6916">
        <w:tc>
          <w:tcPr>
            <w:tcW w:w="1728" w:type="pct"/>
          </w:tcPr>
          <w:p w14:paraId="5D3BDE86" w14:textId="77777777" w:rsidR="009116B7" w:rsidRPr="005759E7" w:rsidRDefault="009116B7" w:rsidP="005270FE">
            <w:pPr>
              <w:pStyle w:val="TableBody"/>
              <w:spacing w:line="240" w:lineRule="atLeast"/>
              <w:mirrorIndents/>
              <w:rPr>
                <w:rFonts w:cs="Arial"/>
                <w:szCs w:val="20"/>
              </w:rPr>
            </w:pPr>
            <w:r w:rsidRPr="005759E7">
              <w:rPr>
                <w:rFonts w:cs="Arial"/>
                <w:szCs w:val="20"/>
              </w:rPr>
              <w:t>Annual work program</w:t>
            </w:r>
          </w:p>
        </w:tc>
        <w:tc>
          <w:tcPr>
            <w:tcW w:w="3272" w:type="pct"/>
          </w:tcPr>
          <w:p w14:paraId="5CD4AD8B" w14:textId="77777777" w:rsidR="009704FD" w:rsidRDefault="009704FD" w:rsidP="005270FE">
            <w:pPr>
              <w:pStyle w:val="TableBody"/>
              <w:spacing w:after="120" w:line="240" w:lineRule="atLeast"/>
              <w:mirrorIndents/>
              <w:rPr>
                <w:rFonts w:cs="Arial"/>
                <w:szCs w:val="20"/>
              </w:rPr>
            </w:pPr>
            <w:r w:rsidRPr="005759E7">
              <w:rPr>
                <w:rFonts w:cs="Arial"/>
                <w:szCs w:val="20"/>
              </w:rPr>
              <w:t>Q1: Publish final program</w:t>
            </w:r>
          </w:p>
          <w:p w14:paraId="661298CB" w14:textId="77777777" w:rsidR="009116B7" w:rsidRPr="005759E7" w:rsidRDefault="009116B7" w:rsidP="005270FE">
            <w:pPr>
              <w:pStyle w:val="TableBody"/>
              <w:spacing w:line="240" w:lineRule="atLeast"/>
              <w:mirrorIndents/>
              <w:rPr>
                <w:rFonts w:cs="Arial"/>
                <w:szCs w:val="20"/>
              </w:rPr>
            </w:pPr>
            <w:r w:rsidRPr="005759E7">
              <w:rPr>
                <w:rFonts w:cs="Arial"/>
                <w:szCs w:val="20"/>
              </w:rPr>
              <w:t>Q4</w:t>
            </w:r>
            <w:r w:rsidR="00D456EC" w:rsidRPr="005759E7">
              <w:rPr>
                <w:rFonts w:cs="Arial"/>
                <w:szCs w:val="20"/>
              </w:rPr>
              <w:t>:</w:t>
            </w:r>
            <w:r w:rsidRPr="005759E7">
              <w:rPr>
                <w:rFonts w:cs="Arial"/>
                <w:szCs w:val="20"/>
              </w:rPr>
              <w:t xml:space="preserve"> Consult on draft work program</w:t>
            </w:r>
          </w:p>
        </w:tc>
      </w:tr>
      <w:tr w:rsidR="009116B7" w:rsidRPr="006D46E5" w14:paraId="18122AA1" w14:textId="77777777" w:rsidTr="00BE6916">
        <w:tc>
          <w:tcPr>
            <w:tcW w:w="1728" w:type="pct"/>
            <w:shd w:val="clear" w:color="auto" w:fill="F2F2F2" w:themeFill="background1" w:themeFillShade="F2"/>
          </w:tcPr>
          <w:p w14:paraId="2D8BADEC" w14:textId="77777777" w:rsidR="009116B7" w:rsidRPr="005759E7" w:rsidRDefault="009116B7" w:rsidP="005270FE">
            <w:pPr>
              <w:pStyle w:val="TableBody"/>
              <w:spacing w:line="240" w:lineRule="atLeast"/>
              <w:mirrorIndents/>
              <w:rPr>
                <w:rFonts w:cs="Arial"/>
                <w:szCs w:val="20"/>
              </w:rPr>
            </w:pPr>
            <w:r w:rsidRPr="005759E7">
              <w:rPr>
                <w:rFonts w:cs="Arial"/>
                <w:szCs w:val="20"/>
              </w:rPr>
              <w:t>Planning and technical frameworks</w:t>
            </w:r>
          </w:p>
        </w:tc>
        <w:tc>
          <w:tcPr>
            <w:tcW w:w="3272" w:type="pct"/>
            <w:shd w:val="clear" w:color="auto" w:fill="F2F2F2" w:themeFill="background1" w:themeFillShade="F2"/>
          </w:tcPr>
          <w:p w14:paraId="629C0FAC"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40BEE348" w14:textId="77777777" w:rsidTr="00BE6916">
        <w:tc>
          <w:tcPr>
            <w:tcW w:w="1728" w:type="pct"/>
          </w:tcPr>
          <w:p w14:paraId="0BFA209B" w14:textId="77777777" w:rsidR="009116B7" w:rsidRPr="005759E7" w:rsidRDefault="009116B7" w:rsidP="005270FE">
            <w:pPr>
              <w:pStyle w:val="TableBody"/>
              <w:spacing w:line="240" w:lineRule="atLeast"/>
              <w:mirrorIndents/>
              <w:rPr>
                <w:rFonts w:cs="Arial"/>
                <w:szCs w:val="20"/>
              </w:rPr>
            </w:pPr>
            <w:r w:rsidRPr="005759E7">
              <w:rPr>
                <w:rFonts w:cs="Arial"/>
                <w:szCs w:val="20"/>
              </w:rPr>
              <w:t>Licensing and licensing transition</w:t>
            </w:r>
          </w:p>
        </w:tc>
        <w:tc>
          <w:tcPr>
            <w:tcW w:w="3272" w:type="pct"/>
          </w:tcPr>
          <w:p w14:paraId="15C1A40A"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699ECB76" w14:textId="77777777" w:rsidTr="00BE6916">
        <w:tc>
          <w:tcPr>
            <w:tcW w:w="1728" w:type="pct"/>
            <w:shd w:val="clear" w:color="auto" w:fill="F2F2F2" w:themeFill="background1" w:themeFillShade="F2"/>
          </w:tcPr>
          <w:p w14:paraId="76221E37" w14:textId="77777777" w:rsidR="009116B7" w:rsidRPr="005759E7" w:rsidRDefault="009116B7" w:rsidP="005270FE">
            <w:pPr>
              <w:pStyle w:val="TableBody"/>
              <w:spacing w:line="240" w:lineRule="atLeast"/>
              <w:mirrorIndents/>
              <w:rPr>
                <w:rFonts w:cs="Arial"/>
                <w:szCs w:val="20"/>
              </w:rPr>
            </w:pPr>
            <w:r w:rsidRPr="005759E7">
              <w:rPr>
                <w:rFonts w:cs="Arial"/>
                <w:szCs w:val="20"/>
              </w:rPr>
              <w:t>Pricing review implementation</w:t>
            </w:r>
          </w:p>
        </w:tc>
        <w:tc>
          <w:tcPr>
            <w:tcW w:w="3272" w:type="pct"/>
            <w:shd w:val="clear" w:color="auto" w:fill="F2F2F2" w:themeFill="background1" w:themeFillShade="F2"/>
          </w:tcPr>
          <w:p w14:paraId="15EE14C0"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0B8DC443" w14:textId="77777777" w:rsidTr="00BE6916">
        <w:tc>
          <w:tcPr>
            <w:tcW w:w="1728" w:type="pct"/>
          </w:tcPr>
          <w:p w14:paraId="0BF0532C" w14:textId="77777777" w:rsidR="009116B7" w:rsidRPr="005759E7" w:rsidRDefault="009116B7" w:rsidP="005270FE">
            <w:pPr>
              <w:pStyle w:val="TableBody"/>
              <w:spacing w:line="240" w:lineRule="atLeast"/>
              <w:mirrorIndents/>
              <w:rPr>
                <w:rFonts w:cs="Arial"/>
                <w:szCs w:val="20"/>
              </w:rPr>
            </w:pPr>
            <w:r w:rsidRPr="005759E7">
              <w:rPr>
                <w:rFonts w:cs="Arial"/>
                <w:szCs w:val="20"/>
              </w:rPr>
              <w:t>Equipment rules</w:t>
            </w:r>
          </w:p>
        </w:tc>
        <w:tc>
          <w:tcPr>
            <w:tcW w:w="3272" w:type="pct"/>
          </w:tcPr>
          <w:p w14:paraId="1DB388A4"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r w:rsidR="009116B7" w:rsidRPr="006D46E5" w14:paraId="569B4041" w14:textId="77777777" w:rsidTr="00BE6916">
        <w:tc>
          <w:tcPr>
            <w:tcW w:w="1728" w:type="pct"/>
            <w:shd w:val="clear" w:color="auto" w:fill="F2F2F2" w:themeFill="background1" w:themeFillShade="F2"/>
          </w:tcPr>
          <w:p w14:paraId="58AEF928" w14:textId="77777777" w:rsidR="009116B7" w:rsidRPr="005759E7" w:rsidRDefault="009116B7" w:rsidP="005270FE">
            <w:pPr>
              <w:pStyle w:val="TableBody"/>
              <w:spacing w:line="240" w:lineRule="atLeast"/>
              <w:mirrorIndents/>
              <w:rPr>
                <w:rFonts w:cs="Arial"/>
                <w:szCs w:val="20"/>
              </w:rPr>
            </w:pPr>
            <w:r w:rsidRPr="005759E7">
              <w:rPr>
                <w:rFonts w:cs="Arial"/>
                <w:szCs w:val="20"/>
              </w:rPr>
              <w:t xml:space="preserve">Accreditation arrangements </w:t>
            </w:r>
          </w:p>
        </w:tc>
        <w:tc>
          <w:tcPr>
            <w:tcW w:w="3272" w:type="pct"/>
            <w:shd w:val="clear" w:color="auto" w:fill="F2F2F2" w:themeFill="background1" w:themeFillShade="F2"/>
          </w:tcPr>
          <w:p w14:paraId="4B9963EC" w14:textId="77777777" w:rsidR="009116B7" w:rsidRPr="005759E7" w:rsidRDefault="009116B7" w:rsidP="005270FE">
            <w:pPr>
              <w:pStyle w:val="TableBody"/>
              <w:spacing w:line="240" w:lineRule="atLeast"/>
              <w:mirrorIndents/>
              <w:rPr>
                <w:rFonts w:cs="Arial"/>
                <w:szCs w:val="20"/>
              </w:rPr>
            </w:pPr>
            <w:r w:rsidRPr="005759E7">
              <w:rPr>
                <w:rFonts w:cs="Arial"/>
                <w:szCs w:val="20"/>
              </w:rPr>
              <w:t>Consult on revised arrangements following the release of 2</w:t>
            </w:r>
            <w:r w:rsidRPr="005759E7">
              <w:rPr>
                <w:rFonts w:cs="Arial"/>
                <w:szCs w:val="20"/>
                <w:vertAlign w:val="superscript"/>
              </w:rPr>
              <w:t>nd</w:t>
            </w:r>
            <w:r w:rsidRPr="005759E7">
              <w:rPr>
                <w:rFonts w:cs="Arial"/>
                <w:szCs w:val="20"/>
              </w:rPr>
              <w:t xml:space="preserve"> Exposure Draft Radiocommunications Bill package</w:t>
            </w:r>
          </w:p>
        </w:tc>
      </w:tr>
    </w:tbl>
    <w:p w14:paraId="1CFCF08E" w14:textId="77777777" w:rsidR="00557D3A" w:rsidRPr="007538FB" w:rsidRDefault="00557D3A" w:rsidP="005270FE">
      <w:pPr>
        <w:pStyle w:val="ACMASpaceaftertable"/>
      </w:pPr>
    </w:p>
    <w:p w14:paraId="2EA5437D" w14:textId="77777777" w:rsidR="009116B7" w:rsidRDefault="009116B7" w:rsidP="005270FE">
      <w:pPr>
        <w:pStyle w:val="ACMATableHeader"/>
      </w:pPr>
      <w:r w:rsidRPr="007538FB">
        <w:t>Licensing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2689"/>
        <w:gridCol w:w="4972"/>
      </w:tblGrid>
      <w:tr w:rsidR="009116B7" w:rsidRPr="006D46E5" w14:paraId="3A69B504" w14:textId="77777777" w:rsidTr="0001077C">
        <w:trPr>
          <w:tblHeader/>
        </w:trPr>
        <w:tc>
          <w:tcPr>
            <w:tcW w:w="1755" w:type="pct"/>
            <w:shd w:val="clear" w:color="auto" w:fill="404040" w:themeFill="text1" w:themeFillTint="BF"/>
          </w:tcPr>
          <w:p w14:paraId="151AEC54" w14:textId="77777777" w:rsidR="009116B7" w:rsidRPr="006D46E5" w:rsidRDefault="009116B7" w:rsidP="00B747E1">
            <w:pPr>
              <w:pStyle w:val="TableHeading"/>
            </w:pPr>
            <w:r>
              <w:t>Project priorities</w:t>
            </w:r>
          </w:p>
        </w:tc>
        <w:tc>
          <w:tcPr>
            <w:tcW w:w="3245" w:type="pct"/>
            <w:shd w:val="clear" w:color="auto" w:fill="404040" w:themeFill="text1" w:themeFillTint="BF"/>
          </w:tcPr>
          <w:p w14:paraId="44E904CB" w14:textId="77777777" w:rsidR="009116B7" w:rsidRPr="006D46E5" w:rsidRDefault="009116B7" w:rsidP="00B747E1">
            <w:pPr>
              <w:pStyle w:val="TableHeading"/>
            </w:pPr>
            <w:r>
              <w:t>Proposed timelines</w:t>
            </w:r>
          </w:p>
        </w:tc>
      </w:tr>
      <w:tr w:rsidR="009116B7" w:rsidRPr="006D46E5" w14:paraId="48ADEF29" w14:textId="77777777" w:rsidTr="0001077C">
        <w:tc>
          <w:tcPr>
            <w:tcW w:w="1755" w:type="pct"/>
          </w:tcPr>
          <w:p w14:paraId="0452290F"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Mobile phone jammers regulatory arrangements</w:t>
            </w:r>
          </w:p>
        </w:tc>
        <w:tc>
          <w:tcPr>
            <w:tcW w:w="3245" w:type="pct"/>
          </w:tcPr>
          <w:p w14:paraId="5EFDC651"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w:t>
            </w:r>
            <w:r w:rsidR="0024592D" w:rsidRPr="005759E7">
              <w:rPr>
                <w:rFonts w:cs="Arial"/>
                <w:szCs w:val="20"/>
              </w:rPr>
              <w:t>1</w:t>
            </w:r>
            <w:r w:rsidR="00D456EC" w:rsidRPr="005759E7">
              <w:rPr>
                <w:rFonts w:cs="Arial"/>
                <w:szCs w:val="20"/>
              </w:rPr>
              <w:t>: R</w:t>
            </w:r>
            <w:r w:rsidRPr="005759E7">
              <w:rPr>
                <w:rFonts w:cs="Arial"/>
                <w:szCs w:val="20"/>
              </w:rPr>
              <w:t>eview of instruments due to expire in November 2018</w:t>
            </w:r>
          </w:p>
        </w:tc>
      </w:tr>
      <w:tr w:rsidR="00172B54" w:rsidRPr="006D46E5" w14:paraId="65EC3E78" w14:textId="77777777" w:rsidTr="0001077C">
        <w:tc>
          <w:tcPr>
            <w:tcW w:w="1755" w:type="pct"/>
            <w:shd w:val="clear" w:color="auto" w:fill="F2F2F2" w:themeFill="background1" w:themeFillShade="F2"/>
          </w:tcPr>
          <w:p w14:paraId="53BCDAA6" w14:textId="77777777" w:rsidR="00172B54" w:rsidRPr="005759E7" w:rsidRDefault="00172B54" w:rsidP="00E07FBF">
            <w:pPr>
              <w:pStyle w:val="TableBody"/>
              <w:spacing w:before="100" w:beforeAutospacing="1" w:after="100" w:afterAutospacing="1" w:line="240" w:lineRule="atLeast"/>
              <w:contextualSpacing/>
              <w:mirrorIndents/>
              <w:rPr>
                <w:rFonts w:cs="Arial"/>
                <w:szCs w:val="20"/>
              </w:rPr>
            </w:pPr>
            <w:r>
              <w:rPr>
                <w:rFonts w:cs="Arial"/>
                <w:szCs w:val="20"/>
              </w:rPr>
              <w:t>Body scanners in airports</w:t>
            </w:r>
          </w:p>
        </w:tc>
        <w:tc>
          <w:tcPr>
            <w:tcW w:w="3245" w:type="pct"/>
            <w:shd w:val="clear" w:color="auto" w:fill="F2F2F2" w:themeFill="background1" w:themeFillShade="F2"/>
          </w:tcPr>
          <w:p w14:paraId="0F1CFB95" w14:textId="77777777" w:rsidR="00172B54" w:rsidRPr="00172B54" w:rsidRDefault="00172B54" w:rsidP="00E07FBF">
            <w:pPr>
              <w:spacing w:before="100" w:beforeAutospacing="1" w:after="100" w:afterAutospacing="1"/>
              <w:contextualSpacing/>
              <w:mirrorIndents/>
            </w:pPr>
            <w:r>
              <w:t>Q1: Finalise consultations and consider changes to the current applicable licensing during 2018–19.</w:t>
            </w:r>
          </w:p>
        </w:tc>
      </w:tr>
      <w:tr w:rsidR="009116B7" w:rsidRPr="006D46E5" w14:paraId="7E8149EA" w14:textId="77777777" w:rsidTr="0001077C">
        <w:tc>
          <w:tcPr>
            <w:tcW w:w="1755" w:type="pct"/>
            <w:shd w:val="clear" w:color="auto" w:fill="auto"/>
          </w:tcPr>
          <w:p w14:paraId="33257C67"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Renew amateur certificates of proficiency arrangements</w:t>
            </w:r>
          </w:p>
        </w:tc>
        <w:tc>
          <w:tcPr>
            <w:tcW w:w="3245" w:type="pct"/>
            <w:shd w:val="clear" w:color="auto" w:fill="auto"/>
          </w:tcPr>
          <w:p w14:paraId="40224A18"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Q2</w:t>
            </w:r>
            <w:r w:rsidR="00D456EC" w:rsidRPr="005759E7">
              <w:rPr>
                <w:rFonts w:cs="Arial"/>
                <w:szCs w:val="20"/>
              </w:rPr>
              <w:t>:</w:t>
            </w:r>
            <w:r w:rsidRPr="005759E7">
              <w:rPr>
                <w:rFonts w:cs="Arial"/>
                <w:szCs w:val="20"/>
              </w:rPr>
              <w:t xml:space="preserve"> </w:t>
            </w:r>
            <w:r w:rsidR="00D456EC" w:rsidRPr="005759E7">
              <w:rPr>
                <w:rFonts w:cs="Arial"/>
                <w:szCs w:val="20"/>
              </w:rPr>
              <w:t>F</w:t>
            </w:r>
            <w:r w:rsidRPr="005759E7">
              <w:rPr>
                <w:rFonts w:cs="Arial"/>
                <w:szCs w:val="20"/>
              </w:rPr>
              <w:t>inalise arrangements for certificates of proficiency before expiry of the current deed with WIA (February 2019)</w:t>
            </w:r>
          </w:p>
        </w:tc>
      </w:tr>
      <w:tr w:rsidR="009116B7" w:rsidRPr="006D46E5" w14:paraId="6A4C1D99" w14:textId="77777777" w:rsidTr="0001077C">
        <w:trPr>
          <w:trHeight w:val="486"/>
        </w:trPr>
        <w:tc>
          <w:tcPr>
            <w:tcW w:w="1755" w:type="pct"/>
            <w:shd w:val="clear" w:color="auto" w:fill="F2F2F2" w:themeFill="background1" w:themeFillShade="F2"/>
          </w:tcPr>
          <w:p w14:paraId="40FD95FC"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VHF marine radio use</w:t>
            </w:r>
          </w:p>
        </w:tc>
        <w:tc>
          <w:tcPr>
            <w:tcW w:w="3245" w:type="pct"/>
            <w:shd w:val="clear" w:color="auto" w:fill="F2F2F2" w:themeFill="background1" w:themeFillShade="F2"/>
          </w:tcPr>
          <w:p w14:paraId="5B6FC7AD" w14:textId="77777777" w:rsidR="009116B7" w:rsidRPr="005759E7" w:rsidRDefault="00CB64EC" w:rsidP="00E07FBF">
            <w:pPr>
              <w:spacing w:before="100" w:beforeAutospacing="1" w:after="100" w:afterAutospacing="1"/>
              <w:contextualSpacing/>
              <w:mirrorIndents/>
              <w:rPr>
                <w:rFonts w:cs="Arial"/>
                <w:szCs w:val="20"/>
              </w:rPr>
            </w:pPr>
            <w:r w:rsidRPr="005759E7">
              <w:rPr>
                <w:rFonts w:cs="Arial"/>
                <w:szCs w:val="20"/>
              </w:rPr>
              <w:t>Q4</w:t>
            </w:r>
            <w:r w:rsidR="00172B54">
              <w:rPr>
                <w:rFonts w:cs="Arial"/>
                <w:szCs w:val="20"/>
              </w:rPr>
              <w:t>: C</w:t>
            </w:r>
            <w:r w:rsidR="00172B54">
              <w:t xml:space="preserve">onsider changes to the channels specified for maritime radio </w:t>
            </w:r>
          </w:p>
        </w:tc>
      </w:tr>
      <w:tr w:rsidR="002717D0" w:rsidRPr="006D46E5" w14:paraId="37F0E447" w14:textId="77777777" w:rsidTr="0001077C">
        <w:tc>
          <w:tcPr>
            <w:tcW w:w="1755" w:type="pct"/>
            <w:shd w:val="clear" w:color="auto" w:fill="auto"/>
          </w:tcPr>
          <w:p w14:paraId="05186A0D" w14:textId="77777777" w:rsidR="002717D0" w:rsidRPr="005759E7" w:rsidRDefault="002717D0"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400 MHz band </w:t>
            </w:r>
          </w:p>
        </w:tc>
        <w:tc>
          <w:tcPr>
            <w:tcW w:w="3245" w:type="pct"/>
            <w:shd w:val="clear" w:color="auto" w:fill="auto"/>
          </w:tcPr>
          <w:p w14:paraId="14A924AE" w14:textId="77777777" w:rsidR="002717D0" w:rsidRPr="005759E7" w:rsidRDefault="002717D0" w:rsidP="00E07FBF">
            <w:pPr>
              <w:pStyle w:val="TableBody"/>
              <w:spacing w:before="100" w:beforeAutospacing="1" w:after="100" w:afterAutospacing="1" w:line="240" w:lineRule="atLeast"/>
              <w:contextualSpacing/>
              <w:mirrorIndents/>
              <w:rPr>
                <w:rFonts w:cs="Arial"/>
                <w:szCs w:val="20"/>
              </w:rPr>
            </w:pPr>
            <w:r w:rsidRPr="005759E7">
              <w:rPr>
                <w:rFonts w:cs="Arial"/>
                <w:szCs w:val="20"/>
              </w:rPr>
              <w:t>Ongoing transition of licences to appropriate segments of the 400 MHz band</w:t>
            </w:r>
            <w:r w:rsidR="00005734" w:rsidRPr="005759E7">
              <w:rPr>
                <w:rFonts w:cs="Arial"/>
                <w:szCs w:val="20"/>
              </w:rPr>
              <w:t xml:space="preserve"> </w:t>
            </w:r>
            <w:r w:rsidR="00D456EC" w:rsidRPr="005759E7">
              <w:rPr>
                <w:rFonts w:cs="Arial"/>
                <w:szCs w:val="20"/>
              </w:rPr>
              <w:t>before</w:t>
            </w:r>
            <w:r w:rsidR="00005734" w:rsidRPr="005759E7">
              <w:rPr>
                <w:rFonts w:cs="Arial"/>
                <w:szCs w:val="20"/>
              </w:rPr>
              <w:t xml:space="preserve"> the </w:t>
            </w:r>
            <w:r w:rsidR="00EA73F4" w:rsidRPr="005759E7">
              <w:rPr>
                <w:rFonts w:cs="Arial"/>
                <w:szCs w:val="20"/>
              </w:rPr>
              <w:t>completion of the</w:t>
            </w:r>
            <w:r w:rsidR="00005734" w:rsidRPr="005759E7">
              <w:rPr>
                <w:rFonts w:cs="Arial"/>
                <w:szCs w:val="20"/>
              </w:rPr>
              <w:t xml:space="preserve"> final milestone in 2019</w:t>
            </w:r>
            <w:r w:rsidR="00D456EC" w:rsidRPr="005759E7">
              <w:rPr>
                <w:rFonts w:cs="Arial"/>
                <w:szCs w:val="20"/>
              </w:rPr>
              <w:t>–</w:t>
            </w:r>
            <w:r w:rsidR="00005734" w:rsidRPr="005759E7">
              <w:rPr>
                <w:rFonts w:cs="Arial"/>
                <w:szCs w:val="20"/>
              </w:rPr>
              <w:t>20</w:t>
            </w:r>
          </w:p>
        </w:tc>
      </w:tr>
      <w:tr w:rsidR="00756048" w:rsidRPr="006D46E5" w14:paraId="3DF31AFE" w14:textId="77777777" w:rsidTr="0001077C">
        <w:trPr>
          <w:trHeight w:val="652"/>
        </w:trPr>
        <w:tc>
          <w:tcPr>
            <w:tcW w:w="1755" w:type="pct"/>
            <w:shd w:val="clear" w:color="auto" w:fill="F2F2F2" w:themeFill="background1" w:themeFillShade="F2"/>
          </w:tcPr>
          <w:p w14:paraId="2F72530F" w14:textId="77777777" w:rsidR="00756048" w:rsidRPr="005759E7" w:rsidRDefault="007B38D6" w:rsidP="00E07FBF">
            <w:pPr>
              <w:pStyle w:val="TableBody"/>
              <w:spacing w:before="100" w:beforeAutospacing="1" w:after="100" w:afterAutospacing="1" w:line="240" w:lineRule="atLeast"/>
              <w:contextualSpacing/>
              <w:mirrorIndents/>
              <w:rPr>
                <w:rFonts w:cs="Arial"/>
                <w:szCs w:val="20"/>
              </w:rPr>
            </w:pPr>
            <w:r w:rsidRPr="005759E7">
              <w:rPr>
                <w:szCs w:val="20"/>
              </w:rPr>
              <w:t>Review of licensing arrangements for drones and prohibitions and exemptions for drone jamming</w:t>
            </w:r>
          </w:p>
        </w:tc>
        <w:tc>
          <w:tcPr>
            <w:tcW w:w="3245" w:type="pct"/>
            <w:shd w:val="clear" w:color="auto" w:fill="F2F2F2" w:themeFill="background1" w:themeFillShade="F2"/>
          </w:tcPr>
          <w:p w14:paraId="4FE92311" w14:textId="77777777" w:rsidR="00756048" w:rsidRPr="005759E7" w:rsidRDefault="00172B54" w:rsidP="00E07FBF">
            <w:pPr>
              <w:spacing w:before="100" w:beforeAutospacing="1" w:after="100" w:afterAutospacing="1"/>
              <w:contextualSpacing/>
              <w:mirrorIndents/>
              <w:rPr>
                <w:rFonts w:ascii="Calibri" w:hAnsi="Calibri"/>
                <w:szCs w:val="20"/>
              </w:rPr>
            </w:pPr>
            <w:r>
              <w:rPr>
                <w:szCs w:val="20"/>
              </w:rPr>
              <w:t>Q4: F</w:t>
            </w:r>
            <w:r w:rsidR="007B38D6" w:rsidRPr="005759E7">
              <w:rPr>
                <w:szCs w:val="20"/>
              </w:rPr>
              <w:t xml:space="preserve">irst stage review </w:t>
            </w:r>
          </w:p>
        </w:tc>
      </w:tr>
    </w:tbl>
    <w:p w14:paraId="325F579E" w14:textId="77777777" w:rsidR="0058077F" w:rsidRDefault="0058077F" w:rsidP="001C517F">
      <w:pPr>
        <w:pStyle w:val="ACMASpaceaftertable"/>
      </w:pPr>
    </w:p>
    <w:p w14:paraId="0EB11DF8" w14:textId="77777777" w:rsidR="009116B7" w:rsidRDefault="009116B7" w:rsidP="001B1B7A">
      <w:pPr>
        <w:pStyle w:val="ACMATableHeader"/>
        <w:keepNext/>
      </w:pPr>
      <w:r w:rsidRPr="007538FB">
        <w:lastRenderedPageBreak/>
        <w:t>Pricing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56"/>
        <w:gridCol w:w="4105"/>
      </w:tblGrid>
      <w:tr w:rsidR="009116B7" w:rsidRPr="006D46E5" w14:paraId="5AABB33C" w14:textId="77777777" w:rsidTr="0001077C">
        <w:tc>
          <w:tcPr>
            <w:tcW w:w="2321" w:type="pct"/>
            <w:shd w:val="clear" w:color="auto" w:fill="404040" w:themeFill="text1" w:themeFillTint="BF"/>
          </w:tcPr>
          <w:p w14:paraId="3BD77734" w14:textId="77777777" w:rsidR="009116B7" w:rsidRPr="006D46E5" w:rsidRDefault="009116B7" w:rsidP="00B747E1">
            <w:pPr>
              <w:pStyle w:val="TableHeading"/>
            </w:pPr>
            <w:r>
              <w:t>Project priorities</w:t>
            </w:r>
          </w:p>
        </w:tc>
        <w:tc>
          <w:tcPr>
            <w:tcW w:w="2679" w:type="pct"/>
            <w:shd w:val="clear" w:color="auto" w:fill="404040" w:themeFill="text1" w:themeFillTint="BF"/>
          </w:tcPr>
          <w:p w14:paraId="5404E400" w14:textId="77777777" w:rsidR="009116B7" w:rsidRPr="006D46E5" w:rsidRDefault="009116B7" w:rsidP="00B747E1">
            <w:pPr>
              <w:pStyle w:val="TableHeading"/>
            </w:pPr>
            <w:r>
              <w:t>Proposed timelines</w:t>
            </w:r>
          </w:p>
        </w:tc>
      </w:tr>
      <w:tr w:rsidR="009116B7" w:rsidRPr="006D46E5" w14:paraId="05032767" w14:textId="77777777" w:rsidTr="0001077C">
        <w:tc>
          <w:tcPr>
            <w:tcW w:w="2321" w:type="pct"/>
          </w:tcPr>
          <w:p w14:paraId="0807D978"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Commercial broadcasting tax </w:t>
            </w:r>
            <w:r w:rsidR="00D456EC" w:rsidRPr="005759E7">
              <w:rPr>
                <w:rFonts w:cs="Arial"/>
                <w:szCs w:val="20"/>
              </w:rPr>
              <w:t>arrangements</w:t>
            </w:r>
            <w:r w:rsidRPr="005759E7">
              <w:rPr>
                <w:rFonts w:cs="Arial"/>
                <w:szCs w:val="20"/>
              </w:rPr>
              <w:t xml:space="preserve"> </w:t>
            </w:r>
          </w:p>
        </w:tc>
        <w:tc>
          <w:tcPr>
            <w:tcW w:w="2679" w:type="pct"/>
          </w:tcPr>
          <w:p w14:paraId="302E8DD0"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Q1</w:t>
            </w:r>
            <w:r w:rsidR="00D456EC" w:rsidRPr="005759E7">
              <w:rPr>
                <w:rFonts w:cs="Arial"/>
                <w:szCs w:val="20"/>
              </w:rPr>
              <w:t>:</w:t>
            </w:r>
            <w:r w:rsidRPr="005759E7">
              <w:rPr>
                <w:rFonts w:cs="Arial"/>
                <w:szCs w:val="20"/>
              </w:rPr>
              <w:t xml:space="preserve"> </w:t>
            </w:r>
            <w:r w:rsidR="00D456EC" w:rsidRPr="005759E7">
              <w:rPr>
                <w:rFonts w:cs="Arial"/>
                <w:szCs w:val="20"/>
              </w:rPr>
              <w:t>F</w:t>
            </w:r>
            <w:r w:rsidRPr="005759E7">
              <w:rPr>
                <w:rFonts w:cs="Arial"/>
                <w:szCs w:val="20"/>
              </w:rPr>
              <w:t>irst tax assessment</w:t>
            </w:r>
          </w:p>
        </w:tc>
      </w:tr>
      <w:tr w:rsidR="009116B7" w:rsidRPr="006D46E5" w14:paraId="465EBD5D" w14:textId="77777777" w:rsidTr="0001077C">
        <w:tc>
          <w:tcPr>
            <w:tcW w:w="2321" w:type="pct"/>
            <w:shd w:val="clear" w:color="auto" w:fill="F2F2F2" w:themeFill="background1" w:themeFillShade="F2"/>
          </w:tcPr>
          <w:p w14:paraId="650B4ECA"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Preparation for review of </w:t>
            </w:r>
            <w:r w:rsidRPr="005759E7">
              <w:rPr>
                <w:rFonts w:cs="Arial"/>
                <w:i/>
                <w:szCs w:val="20"/>
              </w:rPr>
              <w:t>Commercial Broadcasting (Tax) Act 2017</w:t>
            </w:r>
          </w:p>
        </w:tc>
        <w:tc>
          <w:tcPr>
            <w:tcW w:w="2679" w:type="pct"/>
            <w:shd w:val="clear" w:color="auto" w:fill="F2F2F2" w:themeFill="background1" w:themeFillShade="F2"/>
          </w:tcPr>
          <w:p w14:paraId="7DDA9A4F"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Q4</w:t>
            </w:r>
            <w:r w:rsidR="00D456EC" w:rsidRPr="005759E7">
              <w:rPr>
                <w:rFonts w:cs="Arial"/>
                <w:szCs w:val="20"/>
              </w:rPr>
              <w:t>: I</w:t>
            </w:r>
            <w:r w:rsidRPr="005759E7">
              <w:rPr>
                <w:rFonts w:cs="Arial"/>
                <w:szCs w:val="20"/>
              </w:rPr>
              <w:t>nformation</w:t>
            </w:r>
            <w:r w:rsidR="00727C16" w:rsidRPr="005759E7">
              <w:rPr>
                <w:rFonts w:cs="Arial"/>
                <w:szCs w:val="20"/>
              </w:rPr>
              <w:t xml:space="preserve"> to be issued</w:t>
            </w:r>
            <w:r w:rsidRPr="005759E7">
              <w:rPr>
                <w:rFonts w:cs="Arial"/>
                <w:szCs w:val="20"/>
              </w:rPr>
              <w:t xml:space="preserve"> about </w:t>
            </w:r>
            <w:r w:rsidR="00727C16" w:rsidRPr="005759E7">
              <w:rPr>
                <w:rFonts w:cs="Arial"/>
                <w:szCs w:val="20"/>
              </w:rPr>
              <w:t xml:space="preserve">planned arrangements for </w:t>
            </w:r>
            <w:r w:rsidRPr="005759E7">
              <w:rPr>
                <w:rFonts w:cs="Arial"/>
                <w:szCs w:val="20"/>
              </w:rPr>
              <w:t>the review</w:t>
            </w:r>
            <w:r w:rsidR="00727C16" w:rsidRPr="005759E7">
              <w:rPr>
                <w:rFonts w:cs="Arial"/>
                <w:szCs w:val="20"/>
              </w:rPr>
              <w:t xml:space="preserve"> required to be conducted after 1 July 2019</w:t>
            </w:r>
          </w:p>
        </w:tc>
      </w:tr>
      <w:tr w:rsidR="009116B7" w:rsidRPr="006D46E5" w14:paraId="1FBECAC7" w14:textId="77777777" w:rsidTr="0001077C">
        <w:tc>
          <w:tcPr>
            <w:tcW w:w="2321" w:type="pct"/>
          </w:tcPr>
          <w:p w14:paraId="3B936B95"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400 MHz opportunity</w:t>
            </w:r>
            <w:r w:rsidR="00533216">
              <w:rPr>
                <w:rFonts w:cs="Arial"/>
                <w:szCs w:val="20"/>
              </w:rPr>
              <w:t>-</w:t>
            </w:r>
            <w:r w:rsidRPr="005759E7">
              <w:rPr>
                <w:rFonts w:cs="Arial"/>
                <w:szCs w:val="20"/>
              </w:rPr>
              <w:t>cost pricing</w:t>
            </w:r>
          </w:p>
        </w:tc>
        <w:tc>
          <w:tcPr>
            <w:tcW w:w="2679" w:type="pct"/>
          </w:tcPr>
          <w:p w14:paraId="219301F5"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Continued monitoring of band use</w:t>
            </w:r>
          </w:p>
        </w:tc>
      </w:tr>
      <w:tr w:rsidR="009116B7" w:rsidRPr="006D46E5" w14:paraId="403E0200" w14:textId="77777777" w:rsidTr="0001077C">
        <w:tc>
          <w:tcPr>
            <w:tcW w:w="2321" w:type="pct"/>
            <w:shd w:val="clear" w:color="auto" w:fill="F2F2F2" w:themeFill="background1" w:themeFillShade="F2"/>
          </w:tcPr>
          <w:p w14:paraId="757605AA"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Apparatus licence taxes</w:t>
            </w:r>
          </w:p>
        </w:tc>
        <w:tc>
          <w:tcPr>
            <w:tcW w:w="2679" w:type="pct"/>
            <w:shd w:val="clear" w:color="auto" w:fill="F2F2F2" w:themeFill="background1" w:themeFillShade="F2"/>
          </w:tcPr>
          <w:p w14:paraId="4BC42EA3"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Annual updates for CPI from 1 April each year</w:t>
            </w:r>
          </w:p>
        </w:tc>
      </w:tr>
      <w:tr w:rsidR="009116B7" w:rsidRPr="006D46E5" w14:paraId="194CCA42" w14:textId="77777777" w:rsidTr="0001077C">
        <w:tc>
          <w:tcPr>
            <w:tcW w:w="2321" w:type="pct"/>
          </w:tcPr>
          <w:p w14:paraId="25DF8B39" w14:textId="77777777" w:rsidR="009116B7" w:rsidRPr="005759E7" w:rsidRDefault="009116B7" w:rsidP="00E07FBF">
            <w:pPr>
              <w:pStyle w:val="TableBody"/>
              <w:spacing w:before="100" w:beforeAutospacing="1" w:after="100" w:afterAutospacing="1" w:line="240" w:lineRule="atLeast"/>
              <w:contextualSpacing/>
              <w:mirrorIndents/>
              <w:rPr>
                <w:rFonts w:cs="Arial"/>
                <w:szCs w:val="20"/>
              </w:rPr>
            </w:pPr>
            <w:r w:rsidRPr="005759E7">
              <w:rPr>
                <w:rFonts w:cs="Arial"/>
                <w:szCs w:val="20"/>
              </w:rPr>
              <w:t>Spectrum licence taxes</w:t>
            </w:r>
          </w:p>
        </w:tc>
        <w:tc>
          <w:tcPr>
            <w:tcW w:w="2679" w:type="pct"/>
          </w:tcPr>
          <w:p w14:paraId="0BECDFA7" w14:textId="77777777" w:rsidR="009116B7" w:rsidRPr="005759E7" w:rsidRDefault="00D456EC" w:rsidP="00E07FBF">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Q1: </w:t>
            </w:r>
            <w:r w:rsidR="009116B7" w:rsidRPr="005759E7">
              <w:rPr>
                <w:rFonts w:cs="Arial"/>
                <w:szCs w:val="20"/>
              </w:rPr>
              <w:t>Adjustments for new spectrum</w:t>
            </w:r>
            <w:r w:rsidR="00DA7873">
              <w:rPr>
                <w:rFonts w:cs="Arial"/>
                <w:szCs w:val="20"/>
              </w:rPr>
              <w:t>-</w:t>
            </w:r>
            <w:r w:rsidR="009116B7" w:rsidRPr="005759E7">
              <w:rPr>
                <w:rFonts w:cs="Arial"/>
                <w:szCs w:val="20"/>
              </w:rPr>
              <w:t>licen</w:t>
            </w:r>
            <w:r w:rsidR="00877807">
              <w:rPr>
                <w:rFonts w:cs="Arial"/>
                <w:szCs w:val="20"/>
              </w:rPr>
              <w:t>s</w:t>
            </w:r>
            <w:r w:rsidR="009116B7" w:rsidRPr="005759E7">
              <w:rPr>
                <w:rFonts w:cs="Arial"/>
                <w:szCs w:val="20"/>
              </w:rPr>
              <w:t>e</w:t>
            </w:r>
            <w:r w:rsidR="00877807">
              <w:rPr>
                <w:rFonts w:cs="Arial"/>
                <w:szCs w:val="20"/>
              </w:rPr>
              <w:t>d</w:t>
            </w:r>
            <w:r w:rsidR="009116B7" w:rsidRPr="005759E7">
              <w:rPr>
                <w:rFonts w:cs="Arial"/>
                <w:szCs w:val="20"/>
              </w:rPr>
              <w:t xml:space="preserve"> </w:t>
            </w:r>
            <w:r w:rsidR="00877807">
              <w:rPr>
                <w:rFonts w:cs="Arial"/>
                <w:szCs w:val="20"/>
              </w:rPr>
              <w:t>bands</w:t>
            </w:r>
          </w:p>
        </w:tc>
      </w:tr>
    </w:tbl>
    <w:p w14:paraId="31F80F7B" w14:textId="77777777" w:rsidR="007538FB" w:rsidRDefault="007538FB" w:rsidP="001C517F">
      <w:pPr>
        <w:pStyle w:val="ACMASpaceaftertable"/>
      </w:pPr>
    </w:p>
    <w:p w14:paraId="1476C2CB" w14:textId="77777777" w:rsidR="009116B7" w:rsidRDefault="009116B7" w:rsidP="001C517F">
      <w:pPr>
        <w:pStyle w:val="ACMATableHeader"/>
      </w:pPr>
      <w:r>
        <w:t xml:space="preserve">Compliance and </w:t>
      </w:r>
      <w:r w:rsidR="0058077F" w:rsidRPr="007538FB">
        <w:t>e</w:t>
      </w:r>
      <w:r w:rsidRPr="007538FB">
        <w:t>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56"/>
        <w:gridCol w:w="4105"/>
      </w:tblGrid>
      <w:tr w:rsidR="009116B7" w:rsidRPr="006D46E5" w14:paraId="165BF8E3" w14:textId="77777777" w:rsidTr="0001077C">
        <w:trPr>
          <w:tblHeader/>
        </w:trPr>
        <w:tc>
          <w:tcPr>
            <w:tcW w:w="2321" w:type="pct"/>
            <w:shd w:val="clear" w:color="auto" w:fill="404040" w:themeFill="text1" w:themeFillTint="BF"/>
          </w:tcPr>
          <w:p w14:paraId="2B1BA8CF" w14:textId="77777777" w:rsidR="009116B7" w:rsidRPr="006D46E5" w:rsidRDefault="009116B7" w:rsidP="00B747E1">
            <w:pPr>
              <w:pStyle w:val="TableHeading"/>
            </w:pPr>
            <w:r>
              <w:t>Project priorities</w:t>
            </w:r>
          </w:p>
        </w:tc>
        <w:tc>
          <w:tcPr>
            <w:tcW w:w="2679" w:type="pct"/>
            <w:shd w:val="clear" w:color="auto" w:fill="404040" w:themeFill="text1" w:themeFillTint="BF"/>
          </w:tcPr>
          <w:p w14:paraId="5F27D67A" w14:textId="77777777" w:rsidR="009116B7" w:rsidRPr="006D46E5" w:rsidRDefault="009116B7" w:rsidP="00B747E1">
            <w:pPr>
              <w:pStyle w:val="TableHeading"/>
            </w:pPr>
            <w:r>
              <w:t>Proposed timelines</w:t>
            </w:r>
          </w:p>
        </w:tc>
      </w:tr>
      <w:tr w:rsidR="009116B7" w:rsidRPr="006D46E5" w14:paraId="7B430750" w14:textId="77777777" w:rsidTr="0001077C">
        <w:tc>
          <w:tcPr>
            <w:tcW w:w="2321" w:type="pct"/>
          </w:tcPr>
          <w:p w14:paraId="6167EBE3" w14:textId="77777777" w:rsidR="009116B7" w:rsidRPr="005759E7" w:rsidRDefault="009116B7" w:rsidP="002C6A30">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Audit of mobile handset compliance outcomes </w:t>
            </w:r>
          </w:p>
        </w:tc>
        <w:tc>
          <w:tcPr>
            <w:tcW w:w="2679" w:type="pct"/>
          </w:tcPr>
          <w:p w14:paraId="6AD151FB" w14:textId="77777777" w:rsidR="009116B7" w:rsidRPr="005759E7" w:rsidRDefault="009116B7" w:rsidP="008F7E77">
            <w:pPr>
              <w:pStyle w:val="TableBody"/>
              <w:spacing w:before="100" w:beforeAutospacing="1" w:after="100" w:afterAutospacing="1" w:line="240" w:lineRule="atLeast"/>
              <w:contextualSpacing/>
              <w:mirrorIndents/>
              <w:rPr>
                <w:rFonts w:cs="Arial"/>
                <w:szCs w:val="20"/>
              </w:rPr>
            </w:pPr>
            <w:r w:rsidRPr="005759E7">
              <w:rPr>
                <w:rFonts w:cs="Arial"/>
                <w:szCs w:val="20"/>
              </w:rPr>
              <w:t>Q1</w:t>
            </w:r>
            <w:r w:rsidR="00D456EC" w:rsidRPr="005759E7">
              <w:rPr>
                <w:rFonts w:cs="Arial"/>
                <w:szCs w:val="20"/>
              </w:rPr>
              <w:t>: R</w:t>
            </w:r>
            <w:r w:rsidRPr="005759E7">
              <w:rPr>
                <w:rFonts w:cs="Arial"/>
                <w:szCs w:val="20"/>
              </w:rPr>
              <w:t>eport publication</w:t>
            </w:r>
          </w:p>
        </w:tc>
      </w:tr>
      <w:tr w:rsidR="007D7C29" w:rsidRPr="006D46E5" w14:paraId="2789A2E0" w14:textId="77777777" w:rsidTr="0001077C">
        <w:tc>
          <w:tcPr>
            <w:tcW w:w="2321" w:type="pct"/>
            <w:shd w:val="clear" w:color="auto" w:fill="F2F2F2"/>
          </w:tcPr>
          <w:p w14:paraId="557C6F17" w14:textId="77777777" w:rsidR="007D7C29" w:rsidRPr="005759E7" w:rsidRDefault="007D7C29" w:rsidP="00451EDE">
            <w:pPr>
              <w:pStyle w:val="TableBody"/>
              <w:spacing w:before="100" w:beforeAutospacing="1" w:after="100" w:afterAutospacing="1" w:line="240" w:lineRule="atLeast"/>
              <w:contextualSpacing/>
              <w:mirrorIndents/>
              <w:rPr>
                <w:rFonts w:cs="Arial"/>
                <w:szCs w:val="20"/>
              </w:rPr>
            </w:pPr>
            <w:r w:rsidRPr="005759E7">
              <w:rPr>
                <w:szCs w:val="20"/>
              </w:rPr>
              <w:t xml:space="preserve">Gold Coast Commonwealth Games Readiness priority compliance area </w:t>
            </w:r>
          </w:p>
        </w:tc>
        <w:tc>
          <w:tcPr>
            <w:tcW w:w="2679" w:type="pct"/>
            <w:shd w:val="clear" w:color="auto" w:fill="F2F2F2"/>
          </w:tcPr>
          <w:p w14:paraId="21BE95E8" w14:textId="77777777" w:rsidR="007D7C29" w:rsidRPr="005759E7" w:rsidRDefault="007D7C29" w:rsidP="00E07FBF">
            <w:pPr>
              <w:pStyle w:val="TableBody"/>
              <w:keepNext/>
              <w:keepLines/>
              <w:spacing w:before="100" w:beforeAutospacing="1" w:after="100" w:afterAutospacing="1" w:line="240" w:lineRule="atLeast"/>
              <w:contextualSpacing/>
              <w:mirrorIndents/>
              <w:rPr>
                <w:rFonts w:cs="Arial"/>
                <w:szCs w:val="20"/>
              </w:rPr>
            </w:pPr>
            <w:r w:rsidRPr="005759E7">
              <w:rPr>
                <w:szCs w:val="20"/>
              </w:rPr>
              <w:t>Q1</w:t>
            </w:r>
            <w:r w:rsidR="00D456EC" w:rsidRPr="005759E7">
              <w:rPr>
                <w:szCs w:val="20"/>
              </w:rPr>
              <w:t>: R</w:t>
            </w:r>
            <w:r w:rsidRPr="005759E7">
              <w:rPr>
                <w:szCs w:val="20"/>
              </w:rPr>
              <w:t>eport publication</w:t>
            </w:r>
          </w:p>
        </w:tc>
      </w:tr>
    </w:tbl>
    <w:p w14:paraId="663A2AB0" w14:textId="77777777" w:rsidR="009116B7" w:rsidRPr="007538FB" w:rsidRDefault="009116B7" w:rsidP="001C517F">
      <w:pPr>
        <w:pStyle w:val="ACMASpaceaftertable"/>
      </w:pPr>
    </w:p>
    <w:p w14:paraId="60848E6F" w14:textId="77777777" w:rsidR="009116B7" w:rsidRDefault="009116B7" w:rsidP="001C517F">
      <w:pPr>
        <w:pStyle w:val="ACMATableHeader"/>
      </w:pPr>
      <w:bookmarkStart w:id="27" w:name="_Hlk521499847"/>
      <w:r>
        <w:t xml:space="preserve">International </w:t>
      </w:r>
      <w:r w:rsidRPr="007538FB">
        <w:t>engagement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9116B7" w:rsidRPr="006D46E5" w14:paraId="47B620FA" w14:textId="77777777" w:rsidTr="0001077C">
        <w:trPr>
          <w:tblHeader/>
        </w:trPr>
        <w:tc>
          <w:tcPr>
            <w:tcW w:w="2310" w:type="pct"/>
            <w:shd w:val="clear" w:color="auto" w:fill="404040" w:themeFill="text1" w:themeFillTint="BF"/>
          </w:tcPr>
          <w:bookmarkEnd w:id="27"/>
          <w:p w14:paraId="585912C3" w14:textId="77777777" w:rsidR="009116B7" w:rsidRPr="006D46E5" w:rsidRDefault="009116B7" w:rsidP="00B747E1">
            <w:pPr>
              <w:pStyle w:val="TableHeading"/>
            </w:pPr>
            <w:r>
              <w:t>Project priorities</w:t>
            </w:r>
          </w:p>
        </w:tc>
        <w:tc>
          <w:tcPr>
            <w:tcW w:w="2690" w:type="pct"/>
            <w:shd w:val="clear" w:color="auto" w:fill="404040" w:themeFill="text1" w:themeFillTint="BF"/>
          </w:tcPr>
          <w:p w14:paraId="6C31A5E5" w14:textId="77777777" w:rsidR="009116B7" w:rsidRPr="006D46E5" w:rsidRDefault="009116B7" w:rsidP="00B747E1">
            <w:pPr>
              <w:pStyle w:val="TableHeading"/>
            </w:pPr>
            <w:r>
              <w:t>Proposed timelines</w:t>
            </w:r>
          </w:p>
        </w:tc>
      </w:tr>
      <w:tr w:rsidR="009116B7" w:rsidRPr="006D46E5" w14:paraId="452D1F08" w14:textId="77777777" w:rsidTr="0001077C">
        <w:tc>
          <w:tcPr>
            <w:tcW w:w="2310" w:type="pct"/>
          </w:tcPr>
          <w:p w14:paraId="311BE81E" w14:textId="77777777" w:rsidR="009116B7" w:rsidRPr="005759E7" w:rsidRDefault="009116B7" w:rsidP="00451EDE">
            <w:pPr>
              <w:pStyle w:val="TableBody"/>
              <w:spacing w:before="100" w:beforeAutospacing="1" w:after="100" w:afterAutospacing="1" w:line="240" w:lineRule="atLeast"/>
              <w:contextualSpacing/>
              <w:mirrorIndents/>
              <w:rPr>
                <w:rFonts w:cs="Arial"/>
                <w:szCs w:val="20"/>
              </w:rPr>
            </w:pPr>
            <w:r w:rsidRPr="005759E7">
              <w:rPr>
                <w:rFonts w:cs="Arial"/>
                <w:szCs w:val="20"/>
              </w:rPr>
              <w:t xml:space="preserve">Fourth </w:t>
            </w:r>
            <w:r w:rsidR="003B3D67">
              <w:rPr>
                <w:rFonts w:cs="Arial"/>
                <w:szCs w:val="20"/>
              </w:rPr>
              <w:t xml:space="preserve">meeting of the APT Conference Preparatory Group </w:t>
            </w:r>
            <w:r w:rsidR="001161D8">
              <w:rPr>
                <w:rFonts w:cs="Arial"/>
                <w:szCs w:val="20"/>
              </w:rPr>
              <w:t xml:space="preserve">(Asia Pacific) </w:t>
            </w:r>
            <w:r w:rsidR="003B3D67">
              <w:rPr>
                <w:rFonts w:cs="Arial"/>
                <w:szCs w:val="20"/>
              </w:rPr>
              <w:t>for WRC-19</w:t>
            </w:r>
            <w:r w:rsidRPr="005759E7">
              <w:rPr>
                <w:rFonts w:cs="Arial"/>
                <w:szCs w:val="20"/>
              </w:rPr>
              <w:t xml:space="preserve"> (APG 19-4)</w:t>
            </w:r>
          </w:p>
        </w:tc>
        <w:tc>
          <w:tcPr>
            <w:tcW w:w="2690" w:type="pct"/>
          </w:tcPr>
          <w:p w14:paraId="16A4A3D0" w14:textId="77777777" w:rsidR="009116B7" w:rsidRPr="005759E7" w:rsidRDefault="009116B7" w:rsidP="00451EDE">
            <w:pPr>
              <w:pStyle w:val="TableBody"/>
              <w:spacing w:before="100" w:beforeAutospacing="1" w:after="100" w:afterAutospacing="1" w:line="240" w:lineRule="atLeast"/>
              <w:contextualSpacing/>
              <w:mirrorIndents/>
              <w:rPr>
                <w:rFonts w:cs="Arial"/>
                <w:szCs w:val="20"/>
              </w:rPr>
            </w:pPr>
            <w:r w:rsidRPr="005759E7">
              <w:rPr>
                <w:rFonts w:cs="Arial"/>
                <w:szCs w:val="20"/>
              </w:rPr>
              <w:t>Q3 (</w:t>
            </w:r>
            <w:r w:rsidR="003B3D67">
              <w:rPr>
                <w:rFonts w:cs="Arial"/>
                <w:szCs w:val="20"/>
              </w:rPr>
              <w:t>7</w:t>
            </w:r>
            <w:r w:rsidR="00DA7873">
              <w:rPr>
                <w:rFonts w:cs="Arial"/>
                <w:szCs w:val="20"/>
              </w:rPr>
              <w:t>–</w:t>
            </w:r>
            <w:r w:rsidR="003B3D67">
              <w:rPr>
                <w:rFonts w:cs="Arial"/>
                <w:szCs w:val="20"/>
              </w:rPr>
              <w:t>12 January 2019</w:t>
            </w:r>
            <w:r w:rsidRPr="005759E7">
              <w:rPr>
                <w:rFonts w:cs="Arial"/>
                <w:szCs w:val="20"/>
              </w:rPr>
              <w:t>)</w:t>
            </w:r>
          </w:p>
        </w:tc>
      </w:tr>
      <w:tr w:rsidR="009116B7" w:rsidRPr="006D46E5" w14:paraId="174A1235" w14:textId="77777777" w:rsidTr="0001077C">
        <w:tc>
          <w:tcPr>
            <w:tcW w:w="2310" w:type="pct"/>
            <w:shd w:val="clear" w:color="auto" w:fill="F2F2F2" w:themeFill="background1" w:themeFillShade="F2"/>
          </w:tcPr>
          <w:p w14:paraId="6F0C3FC8" w14:textId="77777777" w:rsidR="009116B7" w:rsidRPr="005759E7" w:rsidRDefault="003B3D67" w:rsidP="00451EDE">
            <w:pPr>
              <w:pStyle w:val="TableBody"/>
              <w:spacing w:before="100" w:beforeAutospacing="1" w:after="100" w:afterAutospacing="1" w:line="240" w:lineRule="atLeast"/>
              <w:contextualSpacing/>
              <w:mirrorIndents/>
              <w:rPr>
                <w:rFonts w:cs="Arial"/>
                <w:szCs w:val="20"/>
              </w:rPr>
            </w:pPr>
            <w:r>
              <w:rPr>
                <w:rFonts w:cs="Arial"/>
                <w:szCs w:val="20"/>
              </w:rPr>
              <w:t xml:space="preserve">Second </w:t>
            </w:r>
            <w:r w:rsidR="009116B7" w:rsidRPr="005759E7">
              <w:rPr>
                <w:rFonts w:cs="Arial"/>
                <w:szCs w:val="20"/>
              </w:rPr>
              <w:t xml:space="preserve">Conference </w:t>
            </w:r>
            <w:r>
              <w:rPr>
                <w:rFonts w:cs="Arial"/>
                <w:szCs w:val="20"/>
              </w:rPr>
              <w:t>P</w:t>
            </w:r>
            <w:r w:rsidR="009116B7" w:rsidRPr="005759E7">
              <w:rPr>
                <w:rFonts w:cs="Arial"/>
                <w:szCs w:val="20"/>
              </w:rPr>
              <w:t xml:space="preserve">reparatory </w:t>
            </w:r>
            <w:r>
              <w:rPr>
                <w:rFonts w:cs="Arial"/>
                <w:szCs w:val="20"/>
              </w:rPr>
              <w:t>M</w:t>
            </w:r>
            <w:r w:rsidR="009116B7" w:rsidRPr="005759E7">
              <w:rPr>
                <w:rFonts w:cs="Arial"/>
                <w:szCs w:val="20"/>
              </w:rPr>
              <w:t>eeting for WRC-19 (CPM 19-2)</w:t>
            </w:r>
          </w:p>
        </w:tc>
        <w:tc>
          <w:tcPr>
            <w:tcW w:w="2690" w:type="pct"/>
            <w:shd w:val="clear" w:color="auto" w:fill="F2F2F2" w:themeFill="background1" w:themeFillShade="F2"/>
          </w:tcPr>
          <w:p w14:paraId="43F7DF9B" w14:textId="77777777" w:rsidR="009116B7" w:rsidRPr="005759E7" w:rsidRDefault="009116B7" w:rsidP="00451EDE">
            <w:pPr>
              <w:pStyle w:val="TableBody"/>
              <w:spacing w:before="100" w:beforeAutospacing="1" w:after="100" w:afterAutospacing="1" w:line="240" w:lineRule="atLeast"/>
              <w:contextualSpacing/>
              <w:mirrorIndents/>
              <w:rPr>
                <w:rFonts w:cs="Arial"/>
                <w:szCs w:val="20"/>
              </w:rPr>
            </w:pPr>
            <w:r w:rsidRPr="005759E7">
              <w:rPr>
                <w:rFonts w:cs="Arial"/>
                <w:szCs w:val="20"/>
              </w:rPr>
              <w:t>Q3 (</w:t>
            </w:r>
            <w:r w:rsidR="003B3D67">
              <w:rPr>
                <w:rFonts w:cs="Arial"/>
                <w:szCs w:val="20"/>
              </w:rPr>
              <w:t>18</w:t>
            </w:r>
            <w:r w:rsidR="00DA7873">
              <w:rPr>
                <w:rFonts w:cs="Arial"/>
                <w:szCs w:val="20"/>
              </w:rPr>
              <w:t>–</w:t>
            </w:r>
            <w:r w:rsidR="003B3D67">
              <w:rPr>
                <w:rFonts w:cs="Arial"/>
                <w:szCs w:val="20"/>
              </w:rPr>
              <w:t xml:space="preserve">28 </w:t>
            </w:r>
            <w:r w:rsidRPr="005759E7">
              <w:rPr>
                <w:rFonts w:cs="Arial"/>
                <w:szCs w:val="20"/>
              </w:rPr>
              <w:t>February 2019)</w:t>
            </w:r>
          </w:p>
        </w:tc>
      </w:tr>
    </w:tbl>
    <w:p w14:paraId="0FA92704" w14:textId="77777777" w:rsidR="004D08DB" w:rsidRPr="007538FB" w:rsidRDefault="004D08DB" w:rsidP="001C517F">
      <w:pPr>
        <w:pStyle w:val="ACMASpaceaftertable"/>
      </w:pPr>
      <w:bookmarkStart w:id="28" w:name="_Toc510104926"/>
      <w:bookmarkStart w:id="29" w:name="_Toc510105723"/>
      <w:bookmarkStart w:id="30" w:name="_Toc510795064"/>
    </w:p>
    <w:p w14:paraId="674A7AED" w14:textId="77777777" w:rsidR="00CC1371" w:rsidRDefault="005B2A6D" w:rsidP="001C517F">
      <w:pPr>
        <w:pStyle w:val="ACMATableHeader"/>
      </w:pPr>
      <w:r>
        <w:rPr>
          <w:noProof/>
        </w:rPr>
        <w:drawing>
          <wp:inline distT="0" distB="0" distL="0" distR="0" wp14:anchorId="7EA07A20" wp14:editId="6D7A1715">
            <wp:extent cx="207010" cy="152400"/>
            <wp:effectExtent l="0" t="0" r="2540" b="0"/>
            <wp:docPr id="3" name="Picture 3"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1C517F">
        <w:t xml:space="preserve"> </w:t>
      </w:r>
      <w:r w:rsidR="00CC1371">
        <w:t xml:space="preserve">Consultation </w:t>
      </w:r>
      <w:r w:rsidR="00CC1371" w:rsidRPr="007538FB">
        <w:t>plans</w:t>
      </w:r>
    </w:p>
    <w:p w14:paraId="2F5AB1F6" w14:textId="77777777" w:rsidR="003A4986" w:rsidRPr="00F91A30" w:rsidRDefault="00D745DF" w:rsidP="001C517F">
      <w:r>
        <w:t>T</w:t>
      </w:r>
      <w:r w:rsidR="00F91A30">
        <w:t>his table</w:t>
      </w:r>
      <w:r>
        <w:t xml:space="preserve"> summarises consultations flagged throughout the FYSO. The list of consultations here is subject to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Caption w:val="Table title to go here"/>
        <w:tblDescription w:val="Table description to go here"/>
      </w:tblPr>
      <w:tblGrid>
        <w:gridCol w:w="3539"/>
        <w:gridCol w:w="4122"/>
      </w:tblGrid>
      <w:tr w:rsidR="003A4986" w:rsidRPr="006D46E5" w14:paraId="3842A0C3" w14:textId="77777777" w:rsidTr="00F91A30">
        <w:trPr>
          <w:tblHeader/>
        </w:trPr>
        <w:tc>
          <w:tcPr>
            <w:tcW w:w="2310" w:type="pct"/>
            <w:shd w:val="clear" w:color="auto" w:fill="404040" w:themeFill="text1" w:themeFillTint="BF"/>
          </w:tcPr>
          <w:p w14:paraId="4569F85E" w14:textId="77777777" w:rsidR="003A4986" w:rsidRPr="006D46E5" w:rsidRDefault="003A4986" w:rsidP="00B747E1">
            <w:pPr>
              <w:pStyle w:val="TableHeading"/>
            </w:pPr>
            <w:r>
              <w:t xml:space="preserve">Issue </w:t>
            </w:r>
          </w:p>
        </w:tc>
        <w:tc>
          <w:tcPr>
            <w:tcW w:w="2690" w:type="pct"/>
            <w:shd w:val="clear" w:color="auto" w:fill="404040" w:themeFill="text1" w:themeFillTint="BF"/>
          </w:tcPr>
          <w:p w14:paraId="0D6A0B5D" w14:textId="77777777" w:rsidR="003A4986" w:rsidRPr="006D46E5" w:rsidRDefault="003A4986" w:rsidP="00B747E1">
            <w:pPr>
              <w:pStyle w:val="TableHeading"/>
            </w:pPr>
            <w:r>
              <w:t>Proposed timelines</w:t>
            </w:r>
          </w:p>
        </w:tc>
      </w:tr>
      <w:tr w:rsidR="003A4986" w:rsidRPr="006D46E5" w14:paraId="1D817AEE" w14:textId="77777777" w:rsidTr="00F91A30">
        <w:tc>
          <w:tcPr>
            <w:tcW w:w="2310" w:type="pct"/>
          </w:tcPr>
          <w:p w14:paraId="6F1E3898" w14:textId="77777777" w:rsidR="00B15596" w:rsidRPr="005759E7" w:rsidRDefault="003A4986" w:rsidP="00F91A30">
            <w:pPr>
              <w:pStyle w:val="TableBody"/>
              <w:spacing w:before="100" w:beforeAutospacing="1" w:after="100" w:afterAutospacing="1" w:line="240" w:lineRule="atLeast"/>
              <w:contextualSpacing/>
              <w:mirrorIndents/>
              <w:rPr>
                <w:rFonts w:cs="Arial"/>
                <w:szCs w:val="20"/>
              </w:rPr>
            </w:pPr>
            <w:r>
              <w:t>28 GHz</w:t>
            </w:r>
            <w:r w:rsidR="007538FB">
              <w:t>—</w:t>
            </w:r>
            <w:r w:rsidR="007527BE">
              <w:rPr>
                <w:rFonts w:cs="Arial"/>
                <w:szCs w:val="20"/>
              </w:rPr>
              <w:t>discussion paper</w:t>
            </w:r>
          </w:p>
        </w:tc>
        <w:tc>
          <w:tcPr>
            <w:tcW w:w="2690" w:type="pct"/>
          </w:tcPr>
          <w:p w14:paraId="756E24AA"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Q1 </w:t>
            </w:r>
            <w:r w:rsidR="007538FB">
              <w:t>20</w:t>
            </w:r>
            <w:r>
              <w:t>18</w:t>
            </w:r>
            <w:r w:rsidR="007538FB">
              <w:t>–</w:t>
            </w:r>
            <w:r>
              <w:t>19</w:t>
            </w:r>
          </w:p>
        </w:tc>
      </w:tr>
      <w:tr w:rsidR="003A4986" w:rsidRPr="006D46E5" w14:paraId="52EE07CB" w14:textId="77777777" w:rsidTr="00F91A30">
        <w:tc>
          <w:tcPr>
            <w:tcW w:w="2310" w:type="pct"/>
            <w:shd w:val="clear" w:color="auto" w:fill="F2F2F2" w:themeFill="background1" w:themeFillShade="F2"/>
          </w:tcPr>
          <w:p w14:paraId="0B55C8F7"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26 GHz</w:t>
            </w:r>
            <w:r w:rsidR="007538FB">
              <w:t>—</w:t>
            </w:r>
            <w:r>
              <w:t>options paper</w:t>
            </w:r>
          </w:p>
        </w:tc>
        <w:tc>
          <w:tcPr>
            <w:tcW w:w="2690" w:type="pct"/>
            <w:shd w:val="clear" w:color="auto" w:fill="F2F2F2" w:themeFill="background1" w:themeFillShade="F2"/>
          </w:tcPr>
          <w:p w14:paraId="750B70A9"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Q1 </w:t>
            </w:r>
            <w:r w:rsidR="007538FB">
              <w:t>20</w:t>
            </w:r>
            <w:r>
              <w:t>18</w:t>
            </w:r>
            <w:r w:rsidR="007538FB">
              <w:t>–</w:t>
            </w:r>
            <w:r>
              <w:t>19</w:t>
            </w:r>
          </w:p>
        </w:tc>
      </w:tr>
      <w:tr w:rsidR="003A4986" w:rsidRPr="006D46E5" w14:paraId="31B5CAD6" w14:textId="77777777" w:rsidTr="001B1B7A">
        <w:tc>
          <w:tcPr>
            <w:tcW w:w="2310" w:type="pct"/>
            <w:shd w:val="clear" w:color="auto" w:fill="auto"/>
          </w:tcPr>
          <w:p w14:paraId="10ADCF17" w14:textId="77777777" w:rsidR="003A4986" w:rsidRPr="005759E7" w:rsidRDefault="007527BE" w:rsidP="00F91A30">
            <w:pPr>
              <w:pStyle w:val="TableBody"/>
              <w:spacing w:before="100" w:beforeAutospacing="1" w:after="100" w:afterAutospacing="1" w:line="240" w:lineRule="atLeast"/>
              <w:contextualSpacing/>
              <w:mirrorIndents/>
              <w:rPr>
                <w:rFonts w:cs="Arial"/>
                <w:szCs w:val="20"/>
              </w:rPr>
            </w:pPr>
            <w:r>
              <w:t>3.7</w:t>
            </w:r>
            <w:r w:rsidR="007538FB">
              <w:t>–</w:t>
            </w:r>
            <w:r>
              <w:t>4.2 GHz</w:t>
            </w:r>
            <w:r w:rsidR="007538FB">
              <w:t>—</w:t>
            </w:r>
            <w:r>
              <w:t xml:space="preserve">discussion paper </w:t>
            </w:r>
          </w:p>
        </w:tc>
        <w:tc>
          <w:tcPr>
            <w:tcW w:w="2690" w:type="pct"/>
            <w:shd w:val="clear" w:color="auto" w:fill="auto"/>
          </w:tcPr>
          <w:p w14:paraId="76EE5EBF" w14:textId="77777777" w:rsidR="003A4986" w:rsidRPr="005759E7" w:rsidRDefault="00B842B0" w:rsidP="00F91A30">
            <w:pPr>
              <w:pStyle w:val="TableBody"/>
              <w:spacing w:before="100" w:beforeAutospacing="1" w:after="100" w:afterAutospacing="1" w:line="240" w:lineRule="atLeast"/>
              <w:contextualSpacing/>
              <w:mirrorIndents/>
              <w:rPr>
                <w:rFonts w:cs="Arial"/>
                <w:szCs w:val="20"/>
              </w:rPr>
            </w:pPr>
            <w:r>
              <w:rPr>
                <w:rFonts w:cs="Arial"/>
                <w:szCs w:val="20"/>
              </w:rPr>
              <w:t xml:space="preserve">Q4 </w:t>
            </w:r>
            <w:r w:rsidR="007538FB">
              <w:rPr>
                <w:rFonts w:cs="Arial"/>
                <w:szCs w:val="20"/>
              </w:rPr>
              <w:t>20</w:t>
            </w:r>
            <w:r>
              <w:rPr>
                <w:rFonts w:cs="Arial"/>
                <w:szCs w:val="20"/>
              </w:rPr>
              <w:t>18</w:t>
            </w:r>
            <w:r w:rsidR="007538FB">
              <w:rPr>
                <w:rFonts w:cs="Arial"/>
                <w:szCs w:val="20"/>
              </w:rPr>
              <w:t>–</w:t>
            </w:r>
            <w:r>
              <w:rPr>
                <w:rFonts w:cs="Arial"/>
                <w:szCs w:val="20"/>
              </w:rPr>
              <w:t>19</w:t>
            </w:r>
          </w:p>
        </w:tc>
      </w:tr>
      <w:tr w:rsidR="003A4986" w:rsidRPr="006D46E5" w14:paraId="15B167A3" w14:textId="77777777" w:rsidTr="00F91A30">
        <w:tc>
          <w:tcPr>
            <w:tcW w:w="2310" w:type="pct"/>
            <w:shd w:val="clear" w:color="auto" w:fill="F2F2F2" w:themeFill="background1" w:themeFillShade="F2"/>
          </w:tcPr>
          <w:p w14:paraId="26333A8D" w14:textId="77777777" w:rsidR="003A4986" w:rsidRPr="005759E7" w:rsidRDefault="007538FB" w:rsidP="00F91A30">
            <w:pPr>
              <w:pStyle w:val="TableBody"/>
              <w:spacing w:before="100" w:beforeAutospacing="1" w:after="100" w:afterAutospacing="1" w:line="240" w:lineRule="atLeast"/>
              <w:contextualSpacing/>
              <w:mirrorIndents/>
              <w:rPr>
                <w:rFonts w:cs="Arial"/>
                <w:szCs w:val="20"/>
              </w:rPr>
            </w:pPr>
            <w:r>
              <w:t>Four</w:t>
            </w:r>
            <w:r w:rsidR="003A4986">
              <w:t xml:space="preserve"> DRCPs for 12</w:t>
            </w:r>
            <w:r>
              <w:t>–</w:t>
            </w:r>
            <w:r w:rsidR="003A4986">
              <w:t>14 licence areas</w:t>
            </w:r>
          </w:p>
        </w:tc>
        <w:tc>
          <w:tcPr>
            <w:tcW w:w="2690" w:type="pct"/>
            <w:shd w:val="clear" w:color="auto" w:fill="F2F2F2" w:themeFill="background1" w:themeFillShade="F2"/>
          </w:tcPr>
          <w:p w14:paraId="1659FFA7"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Q2 </w:t>
            </w:r>
            <w:r w:rsidR="007538FB">
              <w:t>20</w:t>
            </w:r>
            <w:r>
              <w:t>18</w:t>
            </w:r>
            <w:r w:rsidR="007538FB">
              <w:t>–</w:t>
            </w:r>
            <w:r>
              <w:t>19</w:t>
            </w:r>
          </w:p>
        </w:tc>
      </w:tr>
      <w:tr w:rsidR="003A4986" w:rsidRPr="006D46E5" w14:paraId="22A3D1B6" w14:textId="77777777" w:rsidTr="001B1B7A">
        <w:tc>
          <w:tcPr>
            <w:tcW w:w="2310" w:type="pct"/>
            <w:shd w:val="clear" w:color="auto" w:fill="auto"/>
          </w:tcPr>
          <w:p w14:paraId="51E19402"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lastRenderedPageBreak/>
              <w:t>Consider AM</w:t>
            </w:r>
            <w:r w:rsidR="00E53CF1">
              <w:t>–</w:t>
            </w:r>
            <w:r>
              <w:t xml:space="preserve">FM conversion proposals in </w:t>
            </w:r>
            <w:r w:rsidR="007538FB">
              <w:t>five</w:t>
            </w:r>
            <w:r>
              <w:t xml:space="preserve"> NSW areas</w:t>
            </w:r>
          </w:p>
        </w:tc>
        <w:tc>
          <w:tcPr>
            <w:tcW w:w="2690" w:type="pct"/>
            <w:shd w:val="clear" w:color="auto" w:fill="auto"/>
          </w:tcPr>
          <w:p w14:paraId="55F7E89E"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Q2 </w:t>
            </w:r>
            <w:r w:rsidR="007538FB">
              <w:t>20</w:t>
            </w:r>
            <w:r>
              <w:t>18</w:t>
            </w:r>
            <w:r w:rsidR="007538FB">
              <w:t>–</w:t>
            </w:r>
            <w:r>
              <w:t>19</w:t>
            </w:r>
          </w:p>
        </w:tc>
      </w:tr>
      <w:tr w:rsidR="003A4986" w:rsidRPr="006D46E5" w14:paraId="1565467D" w14:textId="77777777" w:rsidTr="00F91A30">
        <w:tc>
          <w:tcPr>
            <w:tcW w:w="2310" w:type="pct"/>
            <w:shd w:val="clear" w:color="auto" w:fill="F2F2F2" w:themeFill="background1" w:themeFillShade="F2"/>
          </w:tcPr>
          <w:p w14:paraId="01B10492"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Spectrum arrangements for small satellites</w:t>
            </w:r>
          </w:p>
        </w:tc>
        <w:tc>
          <w:tcPr>
            <w:tcW w:w="2690" w:type="pct"/>
            <w:shd w:val="clear" w:color="auto" w:fill="F2F2F2" w:themeFill="background1" w:themeFillShade="F2"/>
          </w:tcPr>
          <w:p w14:paraId="7F08F328"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Q</w:t>
            </w:r>
            <w:r w:rsidR="00AE6453">
              <w:t>3</w:t>
            </w:r>
            <w:r>
              <w:t xml:space="preserve"> </w:t>
            </w:r>
            <w:r w:rsidR="007538FB">
              <w:t>20</w:t>
            </w:r>
            <w:r>
              <w:t>18</w:t>
            </w:r>
            <w:r w:rsidR="007538FB">
              <w:t>–</w:t>
            </w:r>
            <w:r>
              <w:t>19</w:t>
            </w:r>
          </w:p>
        </w:tc>
      </w:tr>
      <w:tr w:rsidR="003A4986" w:rsidRPr="006D46E5" w14:paraId="090296BD" w14:textId="77777777" w:rsidTr="001B1B7A">
        <w:tc>
          <w:tcPr>
            <w:tcW w:w="2310" w:type="pct"/>
            <w:shd w:val="clear" w:color="auto" w:fill="auto"/>
          </w:tcPr>
          <w:p w14:paraId="694DE4AD"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rsidRPr="003A4986">
              <w:t>Space-based comms</w:t>
            </w:r>
            <w:r w:rsidR="007538FB">
              <w:t>—</w:t>
            </w:r>
            <w:r w:rsidRPr="003A4986">
              <w:t>update</w:t>
            </w:r>
            <w:r>
              <w:t xml:space="preserve"> (CSO Class Licence and FSO Determination)</w:t>
            </w:r>
          </w:p>
        </w:tc>
        <w:tc>
          <w:tcPr>
            <w:tcW w:w="2690" w:type="pct"/>
            <w:shd w:val="clear" w:color="auto" w:fill="auto"/>
          </w:tcPr>
          <w:p w14:paraId="6C4AB4AF" w14:textId="77777777" w:rsidR="003A4986" w:rsidRPr="005759E7" w:rsidRDefault="00C5782B" w:rsidP="00F91A30">
            <w:pPr>
              <w:pStyle w:val="TableBody"/>
              <w:spacing w:before="100" w:beforeAutospacing="1" w:after="100" w:afterAutospacing="1" w:line="240" w:lineRule="atLeast"/>
              <w:contextualSpacing/>
              <w:mirrorIndents/>
              <w:rPr>
                <w:rFonts w:cs="Arial"/>
                <w:szCs w:val="20"/>
              </w:rPr>
            </w:pPr>
            <w:r>
              <w:t xml:space="preserve">Q1 </w:t>
            </w:r>
            <w:r w:rsidR="007538FB">
              <w:t>20</w:t>
            </w:r>
            <w:r w:rsidR="003A4986">
              <w:t>18</w:t>
            </w:r>
            <w:r w:rsidR="007538FB">
              <w:t>–</w:t>
            </w:r>
            <w:r>
              <w:t>19</w:t>
            </w:r>
            <w:r w:rsidR="007538FB">
              <w:t>—</w:t>
            </w:r>
            <w:r w:rsidR="00C02DED">
              <w:t xml:space="preserve">Completion </w:t>
            </w:r>
            <w:r w:rsidR="00AE6453">
              <w:t>of consultation started 6 June 2018</w:t>
            </w:r>
          </w:p>
        </w:tc>
      </w:tr>
      <w:tr w:rsidR="003A4986" w:rsidRPr="006D46E5" w14:paraId="25C3BF52" w14:textId="77777777" w:rsidTr="00F91A30">
        <w:tc>
          <w:tcPr>
            <w:tcW w:w="2310" w:type="pct"/>
            <w:shd w:val="clear" w:color="auto" w:fill="F2F2F2" w:themeFill="background1" w:themeFillShade="F2"/>
          </w:tcPr>
          <w:p w14:paraId="435D7932"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General review of space licensing procedures consultation paper</w:t>
            </w:r>
          </w:p>
        </w:tc>
        <w:tc>
          <w:tcPr>
            <w:tcW w:w="2690" w:type="pct"/>
            <w:shd w:val="clear" w:color="auto" w:fill="F2F2F2" w:themeFill="background1" w:themeFillShade="F2"/>
          </w:tcPr>
          <w:p w14:paraId="73FF5744" w14:textId="77777777" w:rsidR="003A4986" w:rsidRPr="005759E7" w:rsidRDefault="003A4986" w:rsidP="00F91A30">
            <w:pPr>
              <w:pStyle w:val="TableBody"/>
              <w:spacing w:before="100" w:beforeAutospacing="1" w:after="100" w:afterAutospacing="1" w:line="240" w:lineRule="atLeast"/>
              <w:contextualSpacing/>
              <w:mirrorIndents/>
              <w:rPr>
                <w:rFonts w:cs="Arial"/>
                <w:szCs w:val="20"/>
              </w:rPr>
            </w:pPr>
            <w:r>
              <w:t xml:space="preserve">Q2 </w:t>
            </w:r>
            <w:r w:rsidR="007538FB">
              <w:t>2018–19</w:t>
            </w:r>
          </w:p>
        </w:tc>
      </w:tr>
      <w:tr w:rsidR="00D46D79" w:rsidRPr="006D46E5" w14:paraId="3EB73EF5" w14:textId="77777777" w:rsidTr="001B1B7A">
        <w:tc>
          <w:tcPr>
            <w:tcW w:w="2310" w:type="pct"/>
            <w:shd w:val="clear" w:color="auto" w:fill="auto"/>
          </w:tcPr>
          <w:p w14:paraId="618F6AC1" w14:textId="77777777" w:rsidR="00D46D79" w:rsidRDefault="00D46D79" w:rsidP="00F91A30">
            <w:pPr>
              <w:pStyle w:val="TableBody"/>
              <w:spacing w:before="100" w:beforeAutospacing="1" w:after="100" w:afterAutospacing="1" w:line="240" w:lineRule="atLeast"/>
              <w:contextualSpacing/>
              <w:mirrorIndents/>
            </w:pPr>
            <w:r w:rsidRPr="005759E7">
              <w:rPr>
                <w:rFonts w:cs="Arial"/>
                <w:szCs w:val="20"/>
              </w:rPr>
              <w:t>2</w:t>
            </w:r>
            <w:r>
              <w:rPr>
                <w:rFonts w:cs="Arial"/>
                <w:szCs w:val="20"/>
              </w:rPr>
              <w:t xml:space="preserve"> </w:t>
            </w:r>
            <w:r w:rsidRPr="005759E7">
              <w:rPr>
                <w:rFonts w:cs="Arial"/>
                <w:szCs w:val="20"/>
              </w:rPr>
              <w:t>GHz (1980–2010 and 2170–2200 MH</w:t>
            </w:r>
            <w:r w:rsidR="007527BE">
              <w:rPr>
                <w:rFonts w:cs="Arial"/>
                <w:szCs w:val="20"/>
              </w:rPr>
              <w:t>z</w:t>
            </w:r>
            <w:r w:rsidR="007538FB">
              <w:rPr>
                <w:rFonts w:cs="Arial"/>
                <w:szCs w:val="20"/>
              </w:rPr>
              <w:t>—</w:t>
            </w:r>
            <w:r w:rsidR="007527BE">
              <w:rPr>
                <w:rFonts w:cs="Arial"/>
                <w:szCs w:val="20"/>
              </w:rPr>
              <w:t>discussion paper</w:t>
            </w:r>
          </w:p>
        </w:tc>
        <w:tc>
          <w:tcPr>
            <w:tcW w:w="2690" w:type="pct"/>
            <w:shd w:val="clear" w:color="auto" w:fill="auto"/>
          </w:tcPr>
          <w:p w14:paraId="55FF5045" w14:textId="77777777" w:rsidR="00D46D79" w:rsidRDefault="00D46D79" w:rsidP="00F91A30">
            <w:pPr>
              <w:pStyle w:val="TableBody"/>
              <w:spacing w:before="100" w:beforeAutospacing="1" w:after="100" w:afterAutospacing="1" w:line="240" w:lineRule="atLeast"/>
              <w:contextualSpacing/>
              <w:mirrorIndents/>
            </w:pPr>
            <w:r>
              <w:t xml:space="preserve">Q4 </w:t>
            </w:r>
            <w:r w:rsidR="007538FB">
              <w:t>2018–19</w:t>
            </w:r>
          </w:p>
        </w:tc>
      </w:tr>
      <w:tr w:rsidR="0094288A" w:rsidRPr="006D46E5" w14:paraId="43EE9ADC" w14:textId="77777777" w:rsidTr="00F91A30">
        <w:tc>
          <w:tcPr>
            <w:tcW w:w="2310" w:type="pct"/>
            <w:shd w:val="clear" w:color="auto" w:fill="F2F2F2" w:themeFill="background1" w:themeFillShade="F2"/>
          </w:tcPr>
          <w:p w14:paraId="16F71952" w14:textId="77777777" w:rsidR="0094288A" w:rsidRPr="005759E7" w:rsidRDefault="0094288A" w:rsidP="00F91A30">
            <w:pPr>
              <w:pStyle w:val="TableBody"/>
              <w:spacing w:before="100" w:beforeAutospacing="1" w:after="100" w:afterAutospacing="1" w:line="240" w:lineRule="atLeast"/>
              <w:contextualSpacing/>
              <w:mirrorIndents/>
              <w:rPr>
                <w:rFonts w:cs="Arial"/>
                <w:szCs w:val="20"/>
              </w:rPr>
            </w:pPr>
            <w:r>
              <w:rPr>
                <w:rFonts w:cs="Arial"/>
                <w:szCs w:val="20"/>
              </w:rPr>
              <w:t>3.4-3.575 GHz Reconfiguration</w:t>
            </w:r>
            <w:r w:rsidR="0022547B">
              <w:rPr>
                <w:rFonts w:cs="Arial"/>
                <w:szCs w:val="20"/>
              </w:rPr>
              <w:t xml:space="preserve"> O</w:t>
            </w:r>
            <w:r w:rsidR="001A76DB">
              <w:rPr>
                <w:rFonts w:cs="Arial"/>
                <w:szCs w:val="20"/>
              </w:rPr>
              <w:t>ptions</w:t>
            </w:r>
            <w:r w:rsidR="0022547B">
              <w:rPr>
                <w:rFonts w:cs="Arial"/>
                <w:szCs w:val="20"/>
              </w:rPr>
              <w:t xml:space="preserve"> </w:t>
            </w:r>
            <w:r w:rsidR="001A76DB">
              <w:rPr>
                <w:rFonts w:cs="Arial"/>
                <w:szCs w:val="20"/>
              </w:rPr>
              <w:t>discussion paper</w:t>
            </w:r>
          </w:p>
        </w:tc>
        <w:tc>
          <w:tcPr>
            <w:tcW w:w="2690" w:type="pct"/>
            <w:shd w:val="clear" w:color="auto" w:fill="F2F2F2" w:themeFill="background1" w:themeFillShade="F2"/>
          </w:tcPr>
          <w:p w14:paraId="209309E0" w14:textId="77777777" w:rsidR="0094288A" w:rsidRDefault="0094288A" w:rsidP="00F91A30">
            <w:pPr>
              <w:pStyle w:val="TableBody"/>
              <w:spacing w:before="100" w:beforeAutospacing="1" w:after="100" w:afterAutospacing="1" w:line="240" w:lineRule="atLeast"/>
              <w:contextualSpacing/>
              <w:mirrorIndents/>
            </w:pPr>
            <w:r>
              <w:t xml:space="preserve">Q3 </w:t>
            </w:r>
            <w:r w:rsidR="007538FB">
              <w:t>2018–19</w:t>
            </w:r>
          </w:p>
        </w:tc>
      </w:tr>
      <w:tr w:rsidR="003A4986" w:rsidRPr="006D46E5" w14:paraId="48E15AE3" w14:textId="77777777" w:rsidTr="001B1B7A">
        <w:tc>
          <w:tcPr>
            <w:tcW w:w="2310" w:type="pct"/>
            <w:shd w:val="clear" w:color="auto" w:fill="auto"/>
          </w:tcPr>
          <w:p w14:paraId="33B7C483" w14:textId="77777777" w:rsidR="003A4986" w:rsidRDefault="003A4986" w:rsidP="00F91A30">
            <w:pPr>
              <w:pStyle w:val="TableBody"/>
              <w:spacing w:before="100" w:beforeAutospacing="1" w:after="100" w:afterAutospacing="1" w:line="240" w:lineRule="atLeast"/>
              <w:contextualSpacing/>
              <w:mirrorIndents/>
            </w:pPr>
            <w:r>
              <w:t>ESIM in t</w:t>
            </w:r>
            <w:r w:rsidRPr="00E53CF1">
              <w:t>he Ku-band</w:t>
            </w:r>
          </w:p>
        </w:tc>
        <w:tc>
          <w:tcPr>
            <w:tcW w:w="2690" w:type="pct"/>
            <w:shd w:val="clear" w:color="auto" w:fill="auto"/>
          </w:tcPr>
          <w:p w14:paraId="2BFAA038" w14:textId="77777777" w:rsidR="003A4986" w:rsidRDefault="003A4986" w:rsidP="00F91A30">
            <w:pPr>
              <w:pStyle w:val="TableBody"/>
              <w:spacing w:before="100" w:beforeAutospacing="1" w:after="100" w:afterAutospacing="1" w:line="240" w:lineRule="atLeast"/>
              <w:contextualSpacing/>
              <w:mirrorIndents/>
            </w:pPr>
            <w:r>
              <w:t>Q</w:t>
            </w:r>
            <w:r w:rsidR="00D46D79">
              <w:t>3</w:t>
            </w:r>
            <w:r>
              <w:t xml:space="preserve"> </w:t>
            </w:r>
            <w:r w:rsidR="007538FB">
              <w:t>2018–19</w:t>
            </w:r>
          </w:p>
        </w:tc>
      </w:tr>
      <w:tr w:rsidR="00D46D79" w:rsidRPr="006D46E5" w14:paraId="17C80199" w14:textId="77777777" w:rsidTr="00451EDE">
        <w:tc>
          <w:tcPr>
            <w:tcW w:w="2310" w:type="pct"/>
            <w:shd w:val="clear" w:color="auto" w:fill="F2F2F2" w:themeFill="background1" w:themeFillShade="F2"/>
          </w:tcPr>
          <w:p w14:paraId="08688871" w14:textId="77777777" w:rsidR="00D46D79" w:rsidRPr="00414F57" w:rsidRDefault="00D46D79" w:rsidP="00451EDE">
            <w:pPr>
              <w:pStyle w:val="TableBody"/>
              <w:spacing w:before="100" w:beforeAutospacing="1" w:after="100" w:afterAutospacing="1" w:line="240" w:lineRule="atLeast"/>
              <w:contextualSpacing/>
              <w:mirrorIndents/>
            </w:pPr>
            <w:r w:rsidRPr="005759E7">
              <w:rPr>
                <w:rFonts w:cs="Arial"/>
                <w:szCs w:val="20"/>
              </w:rPr>
              <w:t>Consider feasibility of inclusion of 10.7–11.7 GHz in Communications Space Objects Class Licence</w:t>
            </w:r>
          </w:p>
        </w:tc>
        <w:tc>
          <w:tcPr>
            <w:tcW w:w="2690" w:type="pct"/>
            <w:shd w:val="clear" w:color="auto" w:fill="F2F2F2" w:themeFill="background1" w:themeFillShade="F2"/>
          </w:tcPr>
          <w:p w14:paraId="2D46FF97" w14:textId="77777777" w:rsidR="00D46D79" w:rsidRDefault="00D46D79" w:rsidP="00451EDE">
            <w:pPr>
              <w:pStyle w:val="TableBody"/>
              <w:spacing w:before="100" w:beforeAutospacing="1" w:after="100" w:afterAutospacing="1" w:line="240" w:lineRule="atLeast"/>
              <w:contextualSpacing/>
              <w:mirrorIndents/>
            </w:pPr>
            <w:r>
              <w:t xml:space="preserve">Q4 </w:t>
            </w:r>
            <w:r w:rsidR="007538FB">
              <w:t>2018–19</w:t>
            </w:r>
          </w:p>
        </w:tc>
      </w:tr>
      <w:tr w:rsidR="0049480D" w:rsidRPr="006D46E5" w14:paraId="21356431" w14:textId="77777777" w:rsidTr="001B1B7A">
        <w:tc>
          <w:tcPr>
            <w:tcW w:w="2310" w:type="pct"/>
            <w:shd w:val="clear" w:color="auto" w:fill="auto"/>
          </w:tcPr>
          <w:p w14:paraId="6EF217D5" w14:textId="77777777" w:rsidR="0049480D" w:rsidRDefault="00AE6453" w:rsidP="00451EDE">
            <w:pPr>
              <w:pStyle w:val="TableBody"/>
              <w:spacing w:before="100" w:beforeAutospacing="1" w:after="100" w:afterAutospacing="1" w:line="240" w:lineRule="atLeast"/>
              <w:contextualSpacing/>
              <w:mirrorIndents/>
            </w:pPr>
            <w:r w:rsidRPr="00414F57">
              <w:t>Frequency coordination requirements review work program</w:t>
            </w:r>
          </w:p>
        </w:tc>
        <w:tc>
          <w:tcPr>
            <w:tcW w:w="2690" w:type="pct"/>
            <w:shd w:val="clear" w:color="auto" w:fill="auto"/>
          </w:tcPr>
          <w:p w14:paraId="58892AA2" w14:textId="77777777" w:rsidR="0049480D" w:rsidRDefault="00AE6453" w:rsidP="00451EDE">
            <w:pPr>
              <w:pStyle w:val="TableBody"/>
              <w:spacing w:before="100" w:beforeAutospacing="1" w:after="100" w:afterAutospacing="1" w:line="240" w:lineRule="atLeast"/>
              <w:contextualSpacing/>
              <w:mirrorIndents/>
            </w:pPr>
            <w:r>
              <w:t xml:space="preserve">Q1 </w:t>
            </w:r>
            <w:r w:rsidR="007538FB">
              <w:t>2018–19—</w:t>
            </w:r>
            <w:r>
              <w:t xml:space="preserve">Finalised work program following </w:t>
            </w:r>
            <w:r w:rsidR="00C02DED">
              <w:t>consider</w:t>
            </w:r>
            <w:r w:rsidR="00422290">
              <w:t>ation</w:t>
            </w:r>
            <w:r w:rsidR="00C02DED">
              <w:t xml:space="preserve"> of industry submissions. Future consultations in accordance with finalised work program</w:t>
            </w:r>
          </w:p>
        </w:tc>
      </w:tr>
      <w:tr w:rsidR="00285C5D" w:rsidRPr="006D46E5" w14:paraId="172BB51E" w14:textId="77777777" w:rsidTr="00451EDE">
        <w:tc>
          <w:tcPr>
            <w:tcW w:w="2310" w:type="pct"/>
            <w:shd w:val="clear" w:color="auto" w:fill="F2F2F2" w:themeFill="background1" w:themeFillShade="F2"/>
          </w:tcPr>
          <w:p w14:paraId="18516F64" w14:textId="77777777" w:rsidR="00285C5D" w:rsidRDefault="00285C5D" w:rsidP="00451EDE">
            <w:pPr>
              <w:pStyle w:val="TableBody"/>
              <w:spacing w:before="100" w:beforeAutospacing="1" w:after="100" w:afterAutospacing="1" w:line="240" w:lineRule="atLeast"/>
              <w:contextualSpacing/>
              <w:mirrorIndents/>
            </w:pPr>
            <w:r>
              <w:t xml:space="preserve">850/900 MHz planning </w:t>
            </w:r>
            <w:r w:rsidDel="0094288A">
              <w:t>decision</w:t>
            </w:r>
          </w:p>
        </w:tc>
        <w:tc>
          <w:tcPr>
            <w:tcW w:w="2690" w:type="pct"/>
            <w:shd w:val="clear" w:color="auto" w:fill="F2F2F2" w:themeFill="background1" w:themeFillShade="F2"/>
          </w:tcPr>
          <w:p w14:paraId="072AFCAA" w14:textId="77777777" w:rsidR="00285C5D" w:rsidRDefault="00285C5D" w:rsidP="00451EDE">
            <w:pPr>
              <w:pStyle w:val="TableBody"/>
              <w:spacing w:before="100" w:beforeAutospacing="1" w:after="100" w:afterAutospacing="1" w:line="240" w:lineRule="atLeast"/>
              <w:contextualSpacing/>
              <w:mirrorIndents/>
            </w:pPr>
            <w:r w:rsidDel="0094288A">
              <w:t xml:space="preserve">Q2 </w:t>
            </w:r>
            <w:r w:rsidR="007538FB">
              <w:t>2018–19</w:t>
            </w:r>
          </w:p>
        </w:tc>
      </w:tr>
      <w:tr w:rsidR="00285C5D" w:rsidRPr="006D46E5" w14:paraId="39CD7E9F" w14:textId="77777777" w:rsidTr="001B1B7A">
        <w:tc>
          <w:tcPr>
            <w:tcW w:w="2310" w:type="pct"/>
            <w:shd w:val="clear" w:color="auto" w:fill="auto"/>
          </w:tcPr>
          <w:p w14:paraId="02CFEB96" w14:textId="77777777" w:rsidR="00285C5D" w:rsidRDefault="00285C5D" w:rsidP="00451EDE">
            <w:pPr>
              <w:pStyle w:val="TableBody"/>
              <w:spacing w:before="100" w:beforeAutospacing="1" w:after="100" w:afterAutospacing="1" w:line="240" w:lineRule="atLeast"/>
              <w:contextualSpacing/>
              <w:mirrorIndents/>
            </w:pPr>
            <w:r>
              <w:t>Changes to amateur licence conditions</w:t>
            </w:r>
          </w:p>
        </w:tc>
        <w:tc>
          <w:tcPr>
            <w:tcW w:w="2690" w:type="pct"/>
            <w:shd w:val="clear" w:color="auto" w:fill="auto"/>
          </w:tcPr>
          <w:p w14:paraId="7D8D88FE" w14:textId="77777777" w:rsidR="00285C5D" w:rsidRDefault="007538FB" w:rsidP="00451EDE">
            <w:pPr>
              <w:pStyle w:val="TableBody"/>
              <w:spacing w:before="100" w:beforeAutospacing="1" w:after="100" w:afterAutospacing="1" w:line="240" w:lineRule="atLeast"/>
              <w:contextualSpacing/>
              <w:mirrorIndents/>
            </w:pPr>
            <w:r>
              <w:t>2018–19</w:t>
            </w:r>
          </w:p>
        </w:tc>
      </w:tr>
      <w:tr w:rsidR="00285C5D" w:rsidRPr="006D46E5" w14:paraId="4EC0930B" w14:textId="77777777" w:rsidTr="00451EDE">
        <w:tc>
          <w:tcPr>
            <w:tcW w:w="2310" w:type="pct"/>
            <w:shd w:val="clear" w:color="auto" w:fill="F2F2F2" w:themeFill="background1" w:themeFillShade="F2"/>
          </w:tcPr>
          <w:p w14:paraId="1B7F7E65" w14:textId="77777777" w:rsidR="00285C5D" w:rsidRDefault="00285C5D" w:rsidP="00451EDE">
            <w:pPr>
              <w:pStyle w:val="TableBody"/>
              <w:spacing w:before="100" w:beforeAutospacing="1" w:after="100" w:afterAutospacing="1" w:line="240" w:lineRule="atLeast"/>
              <w:contextualSpacing/>
              <w:mirrorIndents/>
            </w:pPr>
            <w:r>
              <w:t>VHF marine radio channels</w:t>
            </w:r>
            <w:r w:rsidR="007538FB">
              <w:t>—</w:t>
            </w:r>
            <w:r>
              <w:t>consider changes</w:t>
            </w:r>
          </w:p>
        </w:tc>
        <w:tc>
          <w:tcPr>
            <w:tcW w:w="2690" w:type="pct"/>
            <w:shd w:val="clear" w:color="auto" w:fill="F2F2F2" w:themeFill="background1" w:themeFillShade="F2"/>
          </w:tcPr>
          <w:p w14:paraId="05209A00" w14:textId="77777777" w:rsidR="00285C5D" w:rsidRDefault="007538FB" w:rsidP="00451EDE">
            <w:pPr>
              <w:pStyle w:val="TableBody"/>
              <w:spacing w:before="100" w:beforeAutospacing="1" w:after="100" w:afterAutospacing="1" w:line="240" w:lineRule="atLeast"/>
              <w:contextualSpacing/>
              <w:mirrorIndents/>
            </w:pPr>
            <w:r>
              <w:t>2018–19</w:t>
            </w:r>
          </w:p>
        </w:tc>
      </w:tr>
      <w:tr w:rsidR="00285C5D" w:rsidRPr="006D46E5" w14:paraId="5170B51A" w14:textId="77777777" w:rsidTr="001B1B7A">
        <w:tc>
          <w:tcPr>
            <w:tcW w:w="2310" w:type="pct"/>
            <w:shd w:val="clear" w:color="auto" w:fill="auto"/>
          </w:tcPr>
          <w:p w14:paraId="4CD5EACE" w14:textId="77777777" w:rsidR="00285C5D" w:rsidRDefault="00285C5D" w:rsidP="00451EDE">
            <w:pPr>
              <w:pStyle w:val="TableBody"/>
              <w:spacing w:before="100" w:beforeAutospacing="1" w:after="100" w:afterAutospacing="1" w:line="240" w:lineRule="atLeast"/>
              <w:contextualSpacing/>
              <w:mirrorIndents/>
            </w:pPr>
            <w:r>
              <w:t>Drone regulation</w:t>
            </w:r>
          </w:p>
        </w:tc>
        <w:tc>
          <w:tcPr>
            <w:tcW w:w="2690" w:type="pct"/>
            <w:shd w:val="clear" w:color="auto" w:fill="auto"/>
          </w:tcPr>
          <w:p w14:paraId="459DCA8F" w14:textId="77777777" w:rsidR="00285C5D" w:rsidRDefault="00285C5D" w:rsidP="00451EDE">
            <w:pPr>
              <w:pStyle w:val="TableBody"/>
              <w:spacing w:before="100" w:beforeAutospacing="1" w:after="100" w:afterAutospacing="1" w:line="240" w:lineRule="atLeast"/>
              <w:contextualSpacing/>
              <w:mirrorIndents/>
            </w:pPr>
            <w:r>
              <w:t xml:space="preserve">Q2 </w:t>
            </w:r>
            <w:r w:rsidR="007538FB">
              <w:t>2018–19</w:t>
            </w:r>
          </w:p>
        </w:tc>
      </w:tr>
      <w:tr w:rsidR="00285C5D" w:rsidRPr="006D46E5" w14:paraId="4D87AB2A" w14:textId="77777777" w:rsidTr="00451EDE">
        <w:tc>
          <w:tcPr>
            <w:tcW w:w="2310" w:type="pct"/>
            <w:shd w:val="clear" w:color="auto" w:fill="F2F2F2" w:themeFill="background1" w:themeFillShade="F2"/>
          </w:tcPr>
          <w:p w14:paraId="6BE08886" w14:textId="77777777" w:rsidR="00285C5D" w:rsidRDefault="00285C5D" w:rsidP="00451EDE">
            <w:pPr>
              <w:pStyle w:val="TableBody"/>
              <w:spacing w:before="100" w:beforeAutospacing="1" w:after="100" w:afterAutospacing="1" w:line="240" w:lineRule="atLeast"/>
              <w:contextualSpacing/>
              <w:mirrorIndents/>
            </w:pPr>
            <w:r>
              <w:t>400 MHz OC pricing information paper</w:t>
            </w:r>
          </w:p>
        </w:tc>
        <w:tc>
          <w:tcPr>
            <w:tcW w:w="2690" w:type="pct"/>
            <w:shd w:val="clear" w:color="auto" w:fill="F2F2F2" w:themeFill="background1" w:themeFillShade="F2"/>
          </w:tcPr>
          <w:p w14:paraId="1FE273F8" w14:textId="77777777" w:rsidR="00285C5D" w:rsidRDefault="00285C5D" w:rsidP="00A24446">
            <w:pPr>
              <w:pStyle w:val="TableBody"/>
              <w:spacing w:before="100" w:beforeAutospacing="1" w:after="100" w:afterAutospacing="1" w:line="240" w:lineRule="atLeast"/>
              <w:contextualSpacing/>
              <w:mirrorIndents/>
            </w:pPr>
            <w:r>
              <w:t xml:space="preserve">Q3 </w:t>
            </w:r>
            <w:r w:rsidR="00A24446">
              <w:t>2018–19</w:t>
            </w:r>
          </w:p>
        </w:tc>
      </w:tr>
      <w:tr w:rsidR="00285C5D" w:rsidRPr="006D46E5" w14:paraId="70F7144B" w14:textId="77777777" w:rsidTr="001B1B7A">
        <w:tc>
          <w:tcPr>
            <w:tcW w:w="2310" w:type="pct"/>
            <w:shd w:val="clear" w:color="auto" w:fill="auto"/>
          </w:tcPr>
          <w:p w14:paraId="68BE3B54" w14:textId="77777777" w:rsidR="00285C5D" w:rsidRDefault="00285C5D" w:rsidP="00451EDE">
            <w:pPr>
              <w:pStyle w:val="TableBody"/>
              <w:spacing w:before="100" w:beforeAutospacing="1" w:after="100" w:afterAutospacing="1" w:line="240" w:lineRule="atLeast"/>
              <w:contextualSpacing/>
              <w:mirrorIndents/>
            </w:pPr>
            <w:r>
              <w:t>Short range devices/ITS standard</w:t>
            </w:r>
          </w:p>
        </w:tc>
        <w:tc>
          <w:tcPr>
            <w:tcW w:w="2690" w:type="pct"/>
            <w:shd w:val="clear" w:color="auto" w:fill="auto"/>
          </w:tcPr>
          <w:p w14:paraId="64F6F3E2" w14:textId="497560DA" w:rsidR="00285C5D" w:rsidRDefault="00285C5D" w:rsidP="00451EDE">
            <w:pPr>
              <w:pStyle w:val="TableBody"/>
              <w:spacing w:before="100" w:beforeAutospacing="1" w:after="100" w:afterAutospacing="1" w:line="240" w:lineRule="atLeast"/>
              <w:contextualSpacing/>
              <w:mirrorIndents/>
            </w:pPr>
            <w:r>
              <w:t>Q</w:t>
            </w:r>
            <w:r w:rsidR="002E57FA">
              <w:t>2</w:t>
            </w:r>
            <w:r>
              <w:t xml:space="preserve"> </w:t>
            </w:r>
            <w:r w:rsidR="007538FB">
              <w:t>2018–19—</w:t>
            </w:r>
            <w:r>
              <w:t>Completion of consultation started 4 July</w:t>
            </w:r>
          </w:p>
        </w:tc>
      </w:tr>
      <w:tr w:rsidR="00285C5D" w:rsidRPr="006D46E5" w14:paraId="1AC7A7F8" w14:textId="77777777" w:rsidTr="00451EDE">
        <w:tc>
          <w:tcPr>
            <w:tcW w:w="2310" w:type="pct"/>
            <w:shd w:val="clear" w:color="auto" w:fill="F2F2F2" w:themeFill="background1" w:themeFillShade="F2"/>
          </w:tcPr>
          <w:p w14:paraId="51D2705D" w14:textId="77777777" w:rsidR="00285C5D" w:rsidRDefault="00285C5D" w:rsidP="00451EDE">
            <w:pPr>
              <w:pStyle w:val="TableBody"/>
              <w:spacing w:before="100" w:beforeAutospacing="1" w:after="100" w:afterAutospacing="1" w:line="240" w:lineRule="atLeast"/>
              <w:contextualSpacing/>
              <w:mirrorIndents/>
            </w:pPr>
            <w:r>
              <w:t>VHF radiotelephone equipment</w:t>
            </w:r>
            <w:r w:rsidR="0020740B">
              <w:t>—</w:t>
            </w:r>
            <w:r>
              <w:t>maritime mobile services</w:t>
            </w:r>
          </w:p>
        </w:tc>
        <w:tc>
          <w:tcPr>
            <w:tcW w:w="2690" w:type="pct"/>
            <w:shd w:val="clear" w:color="auto" w:fill="F2F2F2" w:themeFill="background1" w:themeFillShade="F2"/>
          </w:tcPr>
          <w:p w14:paraId="112D8803" w14:textId="77777777" w:rsidR="00285C5D" w:rsidRDefault="00285C5D" w:rsidP="00451EDE">
            <w:pPr>
              <w:pStyle w:val="TableBody"/>
              <w:spacing w:before="100" w:beforeAutospacing="1" w:after="100" w:afterAutospacing="1" w:line="240" w:lineRule="atLeast"/>
              <w:contextualSpacing/>
              <w:mirrorIndents/>
            </w:pPr>
            <w:r>
              <w:t xml:space="preserve">Q1 </w:t>
            </w:r>
            <w:r w:rsidR="007538FB">
              <w:t>2018–19</w:t>
            </w:r>
          </w:p>
        </w:tc>
      </w:tr>
      <w:tr w:rsidR="00285C5D" w:rsidRPr="006D46E5" w14:paraId="753E8286" w14:textId="77777777" w:rsidTr="00365525">
        <w:tc>
          <w:tcPr>
            <w:tcW w:w="2310" w:type="pct"/>
            <w:shd w:val="clear" w:color="auto" w:fill="auto"/>
          </w:tcPr>
          <w:p w14:paraId="41393C3E" w14:textId="77777777" w:rsidR="00285C5D" w:rsidRDefault="00285C5D" w:rsidP="00451EDE">
            <w:pPr>
              <w:pStyle w:val="TableBody"/>
              <w:spacing w:before="100" w:beforeAutospacing="1" w:after="100" w:afterAutospacing="1" w:line="240" w:lineRule="atLeast"/>
              <w:contextualSpacing/>
              <w:mirrorIndents/>
            </w:pPr>
            <w:r>
              <w:t xml:space="preserve">Brisbane analog LAP </w:t>
            </w:r>
            <w:r w:rsidDel="00901170">
              <w:t>variation</w:t>
            </w:r>
          </w:p>
        </w:tc>
        <w:tc>
          <w:tcPr>
            <w:tcW w:w="2690" w:type="pct"/>
            <w:shd w:val="clear" w:color="auto" w:fill="auto"/>
          </w:tcPr>
          <w:p w14:paraId="4BC8E679" w14:textId="18160606" w:rsidR="00285C5D" w:rsidRDefault="00285C5D" w:rsidP="00451EDE">
            <w:pPr>
              <w:pStyle w:val="TableBody"/>
              <w:spacing w:before="100" w:beforeAutospacing="1" w:after="100" w:afterAutospacing="1" w:line="240" w:lineRule="atLeast"/>
              <w:contextualSpacing/>
              <w:mirrorIndents/>
            </w:pPr>
            <w:r>
              <w:t>Q</w:t>
            </w:r>
            <w:r w:rsidR="003A6AB5">
              <w:t>3</w:t>
            </w:r>
            <w:r>
              <w:t xml:space="preserve"> </w:t>
            </w:r>
            <w:r w:rsidR="007538FB">
              <w:t>2018–19</w:t>
            </w:r>
          </w:p>
        </w:tc>
      </w:tr>
      <w:tr w:rsidR="00285C5D" w:rsidRPr="006D46E5" w14:paraId="5F49C8DC" w14:textId="77777777" w:rsidTr="00365525">
        <w:tc>
          <w:tcPr>
            <w:tcW w:w="2310" w:type="pct"/>
            <w:shd w:val="clear" w:color="auto" w:fill="F2F2F2" w:themeFill="background1" w:themeFillShade="F2"/>
          </w:tcPr>
          <w:p w14:paraId="7A225553" w14:textId="77777777" w:rsidR="00285C5D" w:rsidRDefault="00285C5D" w:rsidP="00451EDE">
            <w:pPr>
              <w:pStyle w:val="TableBody"/>
              <w:spacing w:before="100" w:beforeAutospacing="1" w:after="100" w:afterAutospacing="1" w:line="240" w:lineRule="atLeast"/>
              <w:contextualSpacing/>
              <w:mirrorIndents/>
            </w:pPr>
            <w:r>
              <w:t>Regional Qld LAP variations</w:t>
            </w:r>
          </w:p>
        </w:tc>
        <w:tc>
          <w:tcPr>
            <w:tcW w:w="2690" w:type="pct"/>
            <w:shd w:val="clear" w:color="auto" w:fill="F2F2F2" w:themeFill="background1" w:themeFillShade="F2"/>
          </w:tcPr>
          <w:p w14:paraId="12303ABB" w14:textId="1FF1D359" w:rsidR="00285C5D" w:rsidRDefault="00285C5D" w:rsidP="00451EDE">
            <w:pPr>
              <w:pStyle w:val="TableBody"/>
              <w:spacing w:before="100" w:beforeAutospacing="1" w:after="100" w:afterAutospacing="1" w:line="240" w:lineRule="atLeast"/>
              <w:contextualSpacing/>
              <w:mirrorIndents/>
            </w:pPr>
            <w:r w:rsidDel="00901170">
              <w:t>Q</w:t>
            </w:r>
            <w:r w:rsidR="00CD12F0">
              <w:t>3</w:t>
            </w:r>
            <w:r w:rsidDel="00901170">
              <w:t xml:space="preserve"> </w:t>
            </w:r>
            <w:r w:rsidR="007538FB">
              <w:t>2018–19</w:t>
            </w:r>
          </w:p>
        </w:tc>
      </w:tr>
      <w:tr w:rsidR="00285C5D" w:rsidRPr="006D46E5" w14:paraId="7CF095C1" w14:textId="77777777" w:rsidTr="00365525">
        <w:tc>
          <w:tcPr>
            <w:tcW w:w="2310" w:type="pct"/>
            <w:shd w:val="clear" w:color="auto" w:fill="auto"/>
          </w:tcPr>
          <w:p w14:paraId="2CAB9137" w14:textId="77777777" w:rsidR="00285C5D" w:rsidRDefault="00285C5D" w:rsidP="00451EDE">
            <w:pPr>
              <w:pStyle w:val="TableBody"/>
              <w:spacing w:before="100" w:beforeAutospacing="1" w:after="100" w:afterAutospacing="1" w:line="240" w:lineRule="atLeast"/>
              <w:contextualSpacing/>
              <w:mirrorIndents/>
            </w:pPr>
            <w:r>
              <w:t>RFT for spectrum licensing business systems</w:t>
            </w:r>
          </w:p>
        </w:tc>
        <w:tc>
          <w:tcPr>
            <w:tcW w:w="2690" w:type="pct"/>
            <w:shd w:val="clear" w:color="auto" w:fill="auto"/>
          </w:tcPr>
          <w:p w14:paraId="4CEEB708" w14:textId="77777777" w:rsidR="00285C5D" w:rsidRDefault="00285C5D" w:rsidP="00451EDE">
            <w:pPr>
              <w:pStyle w:val="TableBody"/>
              <w:spacing w:before="100" w:beforeAutospacing="1" w:after="100" w:afterAutospacing="1" w:line="240" w:lineRule="atLeast"/>
              <w:contextualSpacing/>
              <w:mirrorIndents/>
            </w:pPr>
            <w:r>
              <w:t xml:space="preserve">Q1 </w:t>
            </w:r>
            <w:r w:rsidR="007538FB">
              <w:t>2018–19</w:t>
            </w:r>
          </w:p>
        </w:tc>
      </w:tr>
      <w:tr w:rsidR="00285C5D" w:rsidRPr="006D46E5" w14:paraId="701B901E" w14:textId="77777777" w:rsidTr="00365525">
        <w:tc>
          <w:tcPr>
            <w:tcW w:w="2310" w:type="pct"/>
            <w:shd w:val="clear" w:color="auto" w:fill="F2F2F2" w:themeFill="background1" w:themeFillShade="F2"/>
          </w:tcPr>
          <w:p w14:paraId="34AE03E0" w14:textId="77777777" w:rsidR="00285C5D" w:rsidRDefault="00285C5D" w:rsidP="00451EDE">
            <w:pPr>
              <w:pStyle w:val="TableBody"/>
              <w:spacing w:before="100" w:beforeAutospacing="1" w:after="100" w:afterAutospacing="1" w:line="240" w:lineRule="atLeast"/>
              <w:contextualSpacing/>
              <w:mirrorIndents/>
            </w:pPr>
            <w:r>
              <w:t>Set digital radio start date for Canberra, Darwin and Hobart</w:t>
            </w:r>
          </w:p>
        </w:tc>
        <w:tc>
          <w:tcPr>
            <w:tcW w:w="2690" w:type="pct"/>
            <w:shd w:val="clear" w:color="auto" w:fill="F2F2F2" w:themeFill="background1" w:themeFillShade="F2"/>
          </w:tcPr>
          <w:p w14:paraId="12D77E78" w14:textId="77777777" w:rsidR="00285C5D" w:rsidRDefault="00285C5D" w:rsidP="00451EDE">
            <w:pPr>
              <w:pStyle w:val="TableBody"/>
              <w:spacing w:before="100" w:beforeAutospacing="1" w:after="100" w:afterAutospacing="1" w:line="240" w:lineRule="atLeast"/>
              <w:contextualSpacing/>
              <w:mirrorIndents/>
            </w:pPr>
            <w:r>
              <w:t xml:space="preserve">Q2 </w:t>
            </w:r>
            <w:r w:rsidR="0002172A">
              <w:t>2018–19</w:t>
            </w:r>
          </w:p>
        </w:tc>
      </w:tr>
      <w:tr w:rsidR="00285C5D" w:rsidRPr="006D46E5" w14:paraId="76A28E18" w14:textId="77777777" w:rsidTr="00365525">
        <w:tc>
          <w:tcPr>
            <w:tcW w:w="2310" w:type="pct"/>
            <w:shd w:val="clear" w:color="auto" w:fill="auto"/>
          </w:tcPr>
          <w:p w14:paraId="6C74B686" w14:textId="77777777" w:rsidR="00285C5D" w:rsidRDefault="00285C5D" w:rsidP="001C517F">
            <w:pPr>
              <w:pStyle w:val="TableBody"/>
              <w:spacing w:before="100" w:beforeAutospacing="1" w:after="100" w:afterAutospacing="1" w:line="240" w:lineRule="atLeast"/>
              <w:contextualSpacing/>
              <w:mirrorIndents/>
            </w:pPr>
            <w:r>
              <w:lastRenderedPageBreak/>
              <w:t xml:space="preserve">Finalising digital radio allotment plans for Tranche 2 (WA, SA </w:t>
            </w:r>
            <w:r w:rsidR="0002172A">
              <w:t xml:space="preserve">and </w:t>
            </w:r>
            <w:r w:rsidRPr="001C517F">
              <w:t>N.</w:t>
            </w:r>
            <w:r w:rsidR="00C51923">
              <w:t xml:space="preserve"> </w:t>
            </w:r>
            <w:r w:rsidRPr="001C517F">
              <w:t>Qld)</w:t>
            </w:r>
          </w:p>
        </w:tc>
        <w:tc>
          <w:tcPr>
            <w:tcW w:w="2690" w:type="pct"/>
            <w:shd w:val="clear" w:color="auto" w:fill="auto"/>
          </w:tcPr>
          <w:p w14:paraId="548B149C" w14:textId="77777777" w:rsidR="00285C5D" w:rsidRDefault="00285C5D" w:rsidP="00451EDE">
            <w:pPr>
              <w:pStyle w:val="TableBody"/>
              <w:spacing w:before="100" w:beforeAutospacing="1" w:after="100" w:afterAutospacing="1" w:line="240" w:lineRule="atLeast"/>
              <w:contextualSpacing/>
              <w:mirrorIndents/>
            </w:pPr>
            <w:r>
              <w:t xml:space="preserve">Q1 </w:t>
            </w:r>
            <w:r w:rsidR="0002172A">
              <w:t>2018–19</w:t>
            </w:r>
          </w:p>
        </w:tc>
      </w:tr>
      <w:tr w:rsidR="00285C5D" w:rsidRPr="006D46E5" w14:paraId="322FF614" w14:textId="77777777" w:rsidTr="00365525">
        <w:tc>
          <w:tcPr>
            <w:tcW w:w="2310" w:type="pct"/>
            <w:shd w:val="clear" w:color="auto" w:fill="F2F2F2" w:themeFill="background1" w:themeFillShade="F2"/>
          </w:tcPr>
          <w:p w14:paraId="55321E5C" w14:textId="77777777" w:rsidR="00285C5D" w:rsidRDefault="00285C5D" w:rsidP="00451EDE">
            <w:pPr>
              <w:pStyle w:val="TableBody"/>
              <w:spacing w:before="100" w:beforeAutospacing="1" w:after="100" w:afterAutospacing="1" w:line="240" w:lineRule="atLeast"/>
              <w:contextualSpacing/>
              <w:mirrorIndents/>
            </w:pPr>
            <w:r>
              <w:rPr>
                <w:rFonts w:cs="Arial"/>
                <w:szCs w:val="20"/>
              </w:rPr>
              <w:t xml:space="preserve">Canberra DRCP power increase </w:t>
            </w:r>
          </w:p>
        </w:tc>
        <w:tc>
          <w:tcPr>
            <w:tcW w:w="2690" w:type="pct"/>
            <w:shd w:val="clear" w:color="auto" w:fill="F2F2F2" w:themeFill="background1" w:themeFillShade="F2"/>
          </w:tcPr>
          <w:p w14:paraId="7EC3A222" w14:textId="30B06064" w:rsidR="00285C5D" w:rsidRDefault="00285C5D" w:rsidP="00451EDE">
            <w:pPr>
              <w:pStyle w:val="TableBody"/>
              <w:spacing w:before="100" w:beforeAutospacing="1" w:after="100" w:afterAutospacing="1" w:line="240" w:lineRule="atLeast"/>
              <w:contextualSpacing/>
              <w:mirrorIndents/>
            </w:pPr>
            <w:r w:rsidDel="00901170">
              <w:t>Q</w:t>
            </w:r>
            <w:r w:rsidR="00CD12F0">
              <w:t>2</w:t>
            </w:r>
            <w:r w:rsidDel="00901170">
              <w:t xml:space="preserve"> </w:t>
            </w:r>
            <w:r w:rsidR="0002172A">
              <w:t>2018–19</w:t>
            </w:r>
          </w:p>
        </w:tc>
      </w:tr>
      <w:tr w:rsidR="00285C5D" w:rsidRPr="006D46E5" w14:paraId="513575D6" w14:textId="77777777" w:rsidTr="00365525">
        <w:tc>
          <w:tcPr>
            <w:tcW w:w="2310" w:type="pct"/>
            <w:shd w:val="clear" w:color="auto" w:fill="auto"/>
          </w:tcPr>
          <w:p w14:paraId="75001D54" w14:textId="77777777" w:rsidR="00285C5D" w:rsidRDefault="00285C5D" w:rsidP="00451EDE">
            <w:pPr>
              <w:pStyle w:val="TableBody"/>
              <w:spacing w:before="100" w:beforeAutospacing="1" w:after="100" w:afterAutospacing="1" w:line="240" w:lineRule="atLeast"/>
              <w:contextualSpacing/>
              <w:mirrorIndents/>
              <w:rPr>
                <w:rFonts w:cs="Arial"/>
                <w:szCs w:val="20"/>
              </w:rPr>
            </w:pPr>
            <w:r>
              <w:rPr>
                <w:rFonts w:cs="Arial"/>
                <w:szCs w:val="20"/>
              </w:rPr>
              <w:t xml:space="preserve">Make </w:t>
            </w:r>
            <w:r w:rsidR="0002172A">
              <w:rPr>
                <w:rFonts w:cs="Arial"/>
                <w:szCs w:val="20"/>
              </w:rPr>
              <w:t xml:space="preserve">over </w:t>
            </w:r>
            <w:r>
              <w:rPr>
                <w:rFonts w:cs="Arial"/>
                <w:szCs w:val="20"/>
              </w:rPr>
              <w:t>15 new digital radio channel plans for the next-mover DAB+ markets</w:t>
            </w:r>
          </w:p>
        </w:tc>
        <w:tc>
          <w:tcPr>
            <w:tcW w:w="2690" w:type="pct"/>
            <w:shd w:val="clear" w:color="auto" w:fill="auto"/>
          </w:tcPr>
          <w:p w14:paraId="207204F9" w14:textId="77777777" w:rsidR="00285C5D" w:rsidRDefault="00285C5D" w:rsidP="00451EDE">
            <w:pPr>
              <w:pStyle w:val="TableBody"/>
              <w:spacing w:before="100" w:beforeAutospacing="1" w:after="100" w:afterAutospacing="1" w:line="240" w:lineRule="atLeast"/>
              <w:contextualSpacing/>
              <w:mirrorIndents/>
            </w:pPr>
            <w:r>
              <w:t xml:space="preserve">Q2 </w:t>
            </w:r>
            <w:r w:rsidR="0002172A">
              <w:t>2018–19</w:t>
            </w:r>
          </w:p>
        </w:tc>
      </w:tr>
      <w:tr w:rsidR="00285C5D" w:rsidRPr="006D46E5" w14:paraId="638F8597" w14:textId="77777777" w:rsidTr="00365525">
        <w:tc>
          <w:tcPr>
            <w:tcW w:w="2310" w:type="pct"/>
            <w:shd w:val="clear" w:color="auto" w:fill="F2F2F2" w:themeFill="background1" w:themeFillShade="F2"/>
          </w:tcPr>
          <w:p w14:paraId="0AF6611F" w14:textId="77777777" w:rsidR="00285C5D" w:rsidRDefault="00285C5D" w:rsidP="00451EDE">
            <w:pPr>
              <w:pStyle w:val="TableBody"/>
              <w:spacing w:before="100" w:beforeAutospacing="1" w:after="100" w:afterAutospacing="1" w:line="240" w:lineRule="atLeast"/>
              <w:contextualSpacing/>
              <w:mirrorIndents/>
            </w:pPr>
            <w:r w:rsidRPr="00451EDE">
              <w:rPr>
                <w:rFonts w:cs="Arial"/>
                <w:noProof/>
              </w:rPr>
              <w:drawing>
                <wp:inline distT="0" distB="0" distL="0" distR="0" wp14:anchorId="7FD46B66" wp14:editId="1329221E">
                  <wp:extent cx="207010" cy="152400"/>
                  <wp:effectExtent l="0" t="0" r="2540" b="0"/>
                  <wp:docPr id="15" name="Picture 15"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rPr>
                <w:rFonts w:cs="Arial"/>
                <w:szCs w:val="20"/>
              </w:rPr>
              <w:t xml:space="preserve"> </w:t>
            </w:r>
            <w:r>
              <w:rPr>
                <w:rFonts w:cs="Arial"/>
                <w:szCs w:val="20"/>
              </w:rPr>
              <w:t>Options for re-planning radio services in Perth, following the clearance of Band II TV in Bunbury.</w:t>
            </w:r>
          </w:p>
        </w:tc>
        <w:tc>
          <w:tcPr>
            <w:tcW w:w="2690" w:type="pct"/>
            <w:shd w:val="clear" w:color="auto" w:fill="F2F2F2" w:themeFill="background1" w:themeFillShade="F2"/>
          </w:tcPr>
          <w:p w14:paraId="28F89597" w14:textId="77777777" w:rsidR="00285C5D" w:rsidRDefault="00285C5D" w:rsidP="00451EDE">
            <w:pPr>
              <w:pStyle w:val="TableBody"/>
              <w:spacing w:before="100" w:beforeAutospacing="1" w:after="100" w:afterAutospacing="1" w:line="240" w:lineRule="atLeast"/>
              <w:contextualSpacing/>
              <w:mirrorIndents/>
            </w:pPr>
            <w:r w:rsidDel="00901170">
              <w:t xml:space="preserve">Q2 </w:t>
            </w:r>
            <w:r w:rsidR="0002172A">
              <w:t>2018–19</w:t>
            </w:r>
          </w:p>
        </w:tc>
      </w:tr>
      <w:tr w:rsidR="00D67A77" w:rsidRPr="006D46E5" w14:paraId="5863EA42" w14:textId="77777777" w:rsidTr="00365525">
        <w:tc>
          <w:tcPr>
            <w:tcW w:w="2310" w:type="pct"/>
            <w:shd w:val="clear" w:color="auto" w:fill="auto"/>
          </w:tcPr>
          <w:p w14:paraId="1404D37D" w14:textId="77777777" w:rsidR="00D67A77" w:rsidRPr="00451EDE" w:rsidRDefault="00D67A77" w:rsidP="00451EDE">
            <w:pPr>
              <w:pStyle w:val="TableBody"/>
              <w:spacing w:before="100" w:beforeAutospacing="1" w:after="100" w:afterAutospacing="1" w:line="240" w:lineRule="atLeast"/>
              <w:contextualSpacing/>
              <w:mirrorIndents/>
              <w:rPr>
                <w:rFonts w:cs="Arial"/>
                <w:noProof/>
              </w:rPr>
            </w:pPr>
            <w:r>
              <w:rPr>
                <w:noProof/>
              </w:rPr>
              <w:drawing>
                <wp:inline distT="0" distB="0" distL="0" distR="0" wp14:anchorId="2C0E8854" wp14:editId="4490D788">
                  <wp:extent cx="207010" cy="152400"/>
                  <wp:effectExtent l="0" t="0" r="2540" b="0"/>
                  <wp:docPr id="7" name="Picture 7"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746F0C">
              <w:t xml:space="preserve"> </w:t>
            </w:r>
            <w:r>
              <w:t>1710</w:t>
            </w:r>
            <w:r w:rsidR="0002172A">
              <w:t>–</w:t>
            </w:r>
            <w:r>
              <w:t>1785/1805</w:t>
            </w:r>
            <w:r w:rsidR="0002172A">
              <w:t>–</w:t>
            </w:r>
            <w:r>
              <w:t>1880 MHz (1800 MHz) in remote areas discussion paper</w:t>
            </w:r>
          </w:p>
        </w:tc>
        <w:tc>
          <w:tcPr>
            <w:tcW w:w="2690" w:type="pct"/>
            <w:shd w:val="clear" w:color="auto" w:fill="auto"/>
          </w:tcPr>
          <w:p w14:paraId="18322FE4" w14:textId="77777777" w:rsidR="00D67A77" w:rsidDel="00901170" w:rsidRDefault="00D67A77" w:rsidP="00D67A77">
            <w:pPr>
              <w:pStyle w:val="TableBody"/>
              <w:spacing w:before="100" w:beforeAutospacing="1" w:after="100" w:afterAutospacing="1" w:line="240" w:lineRule="atLeast"/>
              <w:contextualSpacing/>
              <w:mirrorIndents/>
            </w:pPr>
            <w:r>
              <w:rPr>
                <w:rFonts w:cs="Arial"/>
                <w:szCs w:val="20"/>
              </w:rPr>
              <w:t xml:space="preserve">Q4 </w:t>
            </w:r>
            <w:r w:rsidR="0002172A">
              <w:t>2018–19</w:t>
            </w:r>
          </w:p>
        </w:tc>
      </w:tr>
    </w:tbl>
    <w:p w14:paraId="0C1EDB2B" w14:textId="77777777" w:rsidR="003A4986" w:rsidRPr="001C517F" w:rsidRDefault="003A4986" w:rsidP="0002172A">
      <w:pPr>
        <w:pStyle w:val="ACMASpaceaftertable"/>
      </w:pPr>
    </w:p>
    <w:p w14:paraId="16CAB766" w14:textId="77777777" w:rsidR="00B47C14" w:rsidRPr="0058077F" w:rsidRDefault="00FF3B30" w:rsidP="005759E7">
      <w:pPr>
        <w:pStyle w:val="Heading2"/>
      </w:pPr>
      <w:bookmarkStart w:id="31" w:name="_Toc511716265"/>
      <w:bookmarkStart w:id="32" w:name="_Toc511719076"/>
      <w:bookmarkStart w:id="33" w:name="_Toc522794073"/>
      <w:bookmarkStart w:id="34" w:name="_Toc524517079"/>
      <w:r>
        <w:t>Ongoing feedback on the FYSO is welcome</w:t>
      </w:r>
      <w:bookmarkEnd w:id="28"/>
      <w:bookmarkEnd w:id="29"/>
      <w:bookmarkEnd w:id="30"/>
      <w:bookmarkEnd w:id="31"/>
      <w:bookmarkEnd w:id="32"/>
      <w:bookmarkEnd w:id="33"/>
      <w:bookmarkEnd w:id="34"/>
    </w:p>
    <w:p w14:paraId="79EA6F0F" w14:textId="77777777" w:rsidR="00295A18" w:rsidRDefault="00295A18" w:rsidP="00CC0240">
      <w:r>
        <w:t>This final 2018</w:t>
      </w:r>
      <w:r w:rsidR="0002172A">
        <w:t>–</w:t>
      </w:r>
      <w:r>
        <w:t>22 FYSO re</w:t>
      </w:r>
      <w:r w:rsidR="00FF3B30">
        <w:t xml:space="preserve">sponds to </w:t>
      </w:r>
      <w:r>
        <w:t xml:space="preserve">feedback </w:t>
      </w:r>
      <w:r w:rsidR="00FF3B30">
        <w:t xml:space="preserve">provided </w:t>
      </w:r>
      <w:r>
        <w:t>on the draft 2018</w:t>
      </w:r>
      <w:r w:rsidR="0002172A">
        <w:t>–</w:t>
      </w:r>
      <w:r>
        <w:t>22 FYSO published in May. A draft 2019</w:t>
      </w:r>
      <w:r w:rsidR="0002172A">
        <w:t>–</w:t>
      </w:r>
      <w:r>
        <w:t xml:space="preserve">23 FYSO will be </w:t>
      </w:r>
      <w:r w:rsidR="00245069" w:rsidRPr="00493B5D">
        <w:t>published</w:t>
      </w:r>
      <w:r>
        <w:t xml:space="preserve"> in the first half of 2019</w:t>
      </w:r>
      <w:r w:rsidR="0002172A">
        <w:t>,</w:t>
      </w:r>
      <w:r>
        <w:t xml:space="preserve"> ahead of the final FYSO for the 2019</w:t>
      </w:r>
      <w:r w:rsidR="0002172A">
        <w:t>–</w:t>
      </w:r>
      <w:r>
        <w:t>20 calendar year.</w:t>
      </w:r>
    </w:p>
    <w:p w14:paraId="31B39CB1" w14:textId="77777777" w:rsidR="00290E92" w:rsidRPr="0054532C" w:rsidRDefault="00FF3B30" w:rsidP="00991CD9">
      <w:pPr>
        <w:rPr>
          <w:rFonts w:eastAsiaTheme="majorEastAsia"/>
        </w:rPr>
      </w:pPr>
      <w:r>
        <w:t xml:space="preserve">The </w:t>
      </w:r>
      <w:r w:rsidR="00295A18">
        <w:t xml:space="preserve">ACMA welcomes feedback </w:t>
      </w:r>
      <w:r w:rsidR="0002172A">
        <w:t xml:space="preserve">by email to </w:t>
      </w:r>
      <w:hyperlink r:id="rId27" w:history="1">
        <w:r w:rsidR="0002172A" w:rsidRPr="00760066">
          <w:rPr>
            <w:rStyle w:val="Hyperlink"/>
          </w:rPr>
          <w:t>spectrumworkprogram@acma.gov.au</w:t>
        </w:r>
      </w:hyperlink>
      <w:r w:rsidR="0002172A">
        <w:t>.</w:t>
      </w:r>
      <w:r w:rsidR="00295A18" w:rsidRPr="00493B5D">
        <w:t>on</w:t>
      </w:r>
      <w:r w:rsidR="00245069">
        <w:t xml:space="preserve"> </w:t>
      </w:r>
      <w:r w:rsidR="00295A18" w:rsidRPr="00493B5D">
        <w:t>it</w:t>
      </w:r>
      <w:r w:rsidR="00245069">
        <w:t>s</w:t>
      </w:r>
      <w:r w:rsidR="00295A18">
        <w:t xml:space="preserve"> spectrum planning priorities at any time</w:t>
      </w:r>
      <w:r w:rsidR="0002172A">
        <w:t>.</w:t>
      </w:r>
      <w:r w:rsidR="00295A18">
        <w:t xml:space="preserve"> </w:t>
      </w:r>
    </w:p>
    <w:p w14:paraId="528F1116" w14:textId="77777777" w:rsidR="000C4ED6" w:rsidRPr="0056784A" w:rsidRDefault="000C4ED6" w:rsidP="0056784A">
      <w:pPr>
        <w:pStyle w:val="Heading1"/>
        <w:rPr>
          <w:rStyle w:val="TitleChar"/>
          <w:rFonts w:ascii="Arial" w:hAnsi="Arial" w:cs="Arial"/>
          <w:spacing w:val="0"/>
          <w:kern w:val="32"/>
          <w:sz w:val="53"/>
          <w:szCs w:val="32"/>
          <w:lang w:eastAsia="en-AU"/>
        </w:rPr>
      </w:pPr>
      <w:bookmarkStart w:id="35" w:name="_Toc492369998"/>
      <w:bookmarkStart w:id="36" w:name="_Toc492371194"/>
      <w:bookmarkStart w:id="37" w:name="_Toc492371270"/>
      <w:bookmarkStart w:id="38" w:name="_Toc492371763"/>
      <w:bookmarkStart w:id="39" w:name="_Toc492374153"/>
      <w:bookmarkStart w:id="40" w:name="_Toc492374934"/>
      <w:bookmarkStart w:id="41" w:name="_Toc492383120"/>
      <w:bookmarkStart w:id="42" w:name="_Toc492385610"/>
      <w:bookmarkStart w:id="43" w:name="_Toc492388328"/>
      <w:bookmarkStart w:id="44" w:name="_Toc492390376"/>
      <w:bookmarkStart w:id="45" w:name="_Toc492554253"/>
      <w:bookmarkStart w:id="46" w:name="_Toc492557299"/>
      <w:bookmarkStart w:id="47" w:name="_Toc492557555"/>
      <w:bookmarkStart w:id="48" w:name="_Toc492557668"/>
      <w:bookmarkStart w:id="49" w:name="_Toc492558039"/>
      <w:bookmarkStart w:id="50" w:name="_Toc492558077"/>
      <w:bookmarkStart w:id="51" w:name="_Toc492564195"/>
      <w:bookmarkStart w:id="52" w:name="_Toc492566411"/>
      <w:bookmarkStart w:id="53" w:name="_Toc492625052"/>
      <w:bookmarkStart w:id="54" w:name="_Toc492625218"/>
      <w:bookmarkStart w:id="55" w:name="_Toc492626134"/>
      <w:bookmarkStart w:id="56" w:name="_Toc492626758"/>
      <w:bookmarkStart w:id="57" w:name="_Toc492630909"/>
      <w:bookmarkStart w:id="58" w:name="_Toc492632457"/>
      <w:bookmarkStart w:id="59" w:name="_Toc492632760"/>
      <w:bookmarkStart w:id="60" w:name="_Toc492632894"/>
      <w:bookmarkStart w:id="61" w:name="_Toc492633051"/>
      <w:bookmarkStart w:id="62" w:name="_Toc492635018"/>
      <w:bookmarkStart w:id="63" w:name="_Toc492639666"/>
      <w:bookmarkStart w:id="64" w:name="_Toc492639974"/>
      <w:bookmarkStart w:id="65" w:name="_Toc492640190"/>
      <w:bookmarkStart w:id="66" w:name="_Toc492640237"/>
      <w:bookmarkStart w:id="67" w:name="_Toc492640276"/>
      <w:bookmarkStart w:id="68" w:name="_Toc492640315"/>
      <w:bookmarkStart w:id="69" w:name="_Toc492641289"/>
      <w:bookmarkStart w:id="70" w:name="_Toc492641336"/>
      <w:bookmarkStart w:id="71" w:name="_Toc492641778"/>
      <w:bookmarkStart w:id="72" w:name="_Toc492641904"/>
      <w:bookmarkStart w:id="73" w:name="_Toc492645934"/>
      <w:bookmarkStart w:id="74" w:name="_Toc492646224"/>
      <w:bookmarkStart w:id="75" w:name="_Toc492646633"/>
      <w:bookmarkStart w:id="76" w:name="_Toc492647421"/>
      <w:bookmarkStart w:id="77" w:name="_Toc492647473"/>
      <w:bookmarkStart w:id="78" w:name="_Toc492885144"/>
      <w:bookmarkStart w:id="79" w:name="_Toc492885264"/>
      <w:bookmarkStart w:id="80" w:name="_Toc492885536"/>
      <w:bookmarkStart w:id="81" w:name="_Toc492885600"/>
      <w:bookmarkStart w:id="82" w:name="_Toc492886707"/>
      <w:bookmarkStart w:id="83" w:name="_Toc492887240"/>
      <w:bookmarkStart w:id="84" w:name="_Toc492890828"/>
      <w:bookmarkStart w:id="85" w:name="_Toc492891431"/>
      <w:bookmarkStart w:id="86" w:name="_Toc492892962"/>
      <w:bookmarkStart w:id="87" w:name="_Toc492893943"/>
      <w:bookmarkStart w:id="88" w:name="_Toc492894078"/>
      <w:bookmarkStart w:id="89" w:name="_Toc492894346"/>
      <w:bookmarkStart w:id="90" w:name="_Toc492894782"/>
      <w:bookmarkStart w:id="91" w:name="_Toc492896235"/>
      <w:bookmarkStart w:id="92" w:name="_Toc492896670"/>
      <w:bookmarkStart w:id="93" w:name="_Toc492897540"/>
      <w:bookmarkStart w:id="94" w:name="_Toc492898003"/>
      <w:bookmarkStart w:id="95" w:name="_Toc492902338"/>
      <w:bookmarkStart w:id="96" w:name="_Toc510104928"/>
      <w:bookmarkStart w:id="97" w:name="_Toc510105725"/>
      <w:bookmarkStart w:id="98" w:name="_Toc510795066"/>
      <w:bookmarkStart w:id="99" w:name="_Toc511716267"/>
      <w:bookmarkStart w:id="100" w:name="_Toc511719078"/>
      <w:bookmarkStart w:id="101" w:name="_Toc522794074"/>
      <w:bookmarkStart w:id="102" w:name="_Toc524517080"/>
      <w:bookmarkStart w:id="103" w:name="_Toc509581797"/>
      <w:bookmarkStart w:id="104" w:name="_Toc509585113"/>
      <w:bookmarkStart w:id="105" w:name="_Toc509585649"/>
      <w:bookmarkStart w:id="106" w:name="_Toc491854091"/>
      <w:bookmarkStart w:id="107" w:name="_Toc49411514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35321">
        <w:rPr>
          <w:rStyle w:val="TitleChar"/>
          <w:rFonts w:ascii="Arial" w:hAnsi="Arial" w:cs="Arial"/>
          <w:spacing w:val="0"/>
          <w:kern w:val="32"/>
          <w:sz w:val="53"/>
          <w:szCs w:val="32"/>
          <w:lang w:eastAsia="en-AU"/>
        </w:rPr>
        <w:lastRenderedPageBreak/>
        <w:t xml:space="preserve">Part </w:t>
      </w:r>
      <w:r>
        <w:rPr>
          <w:rStyle w:val="TitleChar"/>
          <w:rFonts w:ascii="Arial" w:hAnsi="Arial" w:cs="Arial"/>
          <w:spacing w:val="0"/>
          <w:kern w:val="32"/>
          <w:sz w:val="53"/>
          <w:szCs w:val="32"/>
          <w:lang w:eastAsia="en-AU"/>
        </w:rPr>
        <w:t>1—</w:t>
      </w:r>
      <w:r w:rsidRPr="00835321">
        <w:rPr>
          <w:rStyle w:val="TitleChar"/>
          <w:rFonts w:ascii="Arial" w:hAnsi="Arial" w:cs="Arial"/>
          <w:spacing w:val="0"/>
          <w:kern w:val="32"/>
          <w:sz w:val="53"/>
          <w:szCs w:val="32"/>
          <w:lang w:eastAsia="en-AU"/>
        </w:rPr>
        <w:t>Five</w:t>
      </w:r>
      <w:r>
        <w:rPr>
          <w:rStyle w:val="TitleChar"/>
          <w:rFonts w:ascii="Arial" w:hAnsi="Arial" w:cs="Arial"/>
          <w:spacing w:val="0"/>
          <w:kern w:val="32"/>
          <w:sz w:val="53"/>
          <w:szCs w:val="32"/>
          <w:lang w:eastAsia="en-AU"/>
        </w:rPr>
        <w:t>-y</w:t>
      </w:r>
      <w:r w:rsidRPr="00835321">
        <w:rPr>
          <w:rStyle w:val="TitleChar"/>
          <w:rFonts w:ascii="Arial" w:hAnsi="Arial" w:cs="Arial"/>
          <w:spacing w:val="0"/>
          <w:kern w:val="32"/>
          <w:sz w:val="53"/>
          <w:szCs w:val="32"/>
          <w:lang w:eastAsia="en-AU"/>
        </w:rPr>
        <w:t xml:space="preserve">ear </w:t>
      </w:r>
      <w:r>
        <w:rPr>
          <w:rStyle w:val="TitleChar"/>
          <w:rFonts w:ascii="Arial" w:hAnsi="Arial" w:cs="Arial"/>
          <w:spacing w:val="0"/>
          <w:kern w:val="32"/>
          <w:sz w:val="53"/>
          <w:szCs w:val="32"/>
          <w:lang w:eastAsia="en-AU"/>
        </w:rPr>
        <w:t>spectrum o</w:t>
      </w:r>
      <w:r w:rsidRPr="00835321">
        <w:rPr>
          <w:rStyle w:val="TitleChar"/>
          <w:rFonts w:ascii="Arial" w:hAnsi="Arial" w:cs="Arial"/>
          <w:spacing w:val="0"/>
          <w:kern w:val="32"/>
          <w:sz w:val="53"/>
          <w:szCs w:val="32"/>
          <w:lang w:eastAsia="en-AU"/>
        </w:rPr>
        <w:t>utlook</w:t>
      </w:r>
      <w:bookmarkEnd w:id="96"/>
      <w:bookmarkEnd w:id="97"/>
      <w:bookmarkEnd w:id="98"/>
      <w:bookmarkEnd w:id="99"/>
      <w:bookmarkEnd w:id="100"/>
      <w:bookmarkEnd w:id="101"/>
      <w:bookmarkEnd w:id="102"/>
      <w:r w:rsidRPr="00835321">
        <w:rPr>
          <w:rStyle w:val="TitleChar"/>
          <w:rFonts w:ascii="Arial" w:hAnsi="Arial" w:cs="Arial"/>
          <w:spacing w:val="0"/>
          <w:kern w:val="32"/>
          <w:sz w:val="53"/>
          <w:szCs w:val="32"/>
          <w:lang w:eastAsia="en-AU"/>
        </w:rPr>
        <w:t xml:space="preserve"> </w:t>
      </w:r>
    </w:p>
    <w:p w14:paraId="558F4A37" w14:textId="77777777" w:rsidR="00913DC4" w:rsidRPr="0058077F" w:rsidRDefault="00913DC4" w:rsidP="0058077F">
      <w:pPr>
        <w:pStyle w:val="Heading2"/>
        <w:rPr>
          <w:rStyle w:val="TitleChar"/>
          <w:rFonts w:ascii="Arial" w:hAnsi="Arial" w:cs="Arial"/>
          <w:spacing w:val="0"/>
          <w:kern w:val="0"/>
          <w:sz w:val="28"/>
          <w:szCs w:val="28"/>
          <w:lang w:eastAsia="en-AU"/>
        </w:rPr>
      </w:pPr>
      <w:bookmarkStart w:id="108" w:name="_Toc510104929"/>
      <w:bookmarkStart w:id="109" w:name="_Toc510105726"/>
      <w:bookmarkStart w:id="110" w:name="_Toc510795067"/>
      <w:bookmarkStart w:id="111" w:name="_Toc511716268"/>
      <w:bookmarkStart w:id="112" w:name="_Toc511719079"/>
      <w:bookmarkStart w:id="113" w:name="_Toc522794075"/>
      <w:bookmarkStart w:id="114" w:name="_Toc524517081"/>
      <w:r w:rsidRPr="005759E7">
        <w:rPr>
          <w:rStyle w:val="TitleChar"/>
          <w:rFonts w:ascii="Arial" w:hAnsi="Arial" w:cs="Arial"/>
          <w:spacing w:val="0"/>
          <w:kern w:val="0"/>
          <w:sz w:val="28"/>
          <w:szCs w:val="28"/>
          <w:lang w:eastAsia="en-AU"/>
        </w:rPr>
        <w:t>Introduction</w:t>
      </w:r>
      <w:bookmarkEnd w:id="103"/>
      <w:bookmarkEnd w:id="104"/>
      <w:bookmarkEnd w:id="105"/>
      <w:bookmarkEnd w:id="108"/>
      <w:bookmarkEnd w:id="109"/>
      <w:bookmarkEnd w:id="110"/>
      <w:bookmarkEnd w:id="111"/>
      <w:bookmarkEnd w:id="112"/>
      <w:bookmarkEnd w:id="113"/>
      <w:bookmarkEnd w:id="114"/>
    </w:p>
    <w:p w14:paraId="751EF5EC" w14:textId="77777777" w:rsidR="00CF322E" w:rsidRDefault="00CF322E" w:rsidP="0027128C">
      <w:bookmarkStart w:id="115" w:name="_Toc491854093"/>
      <w:bookmarkEnd w:id="106"/>
      <w:bookmarkEnd w:id="107"/>
      <w:r>
        <w:t xml:space="preserve">Part </w:t>
      </w:r>
      <w:r w:rsidR="0058077F">
        <w:t>1</w:t>
      </w:r>
      <w:r w:rsidR="000F38B6">
        <w:t xml:space="preserve"> </w:t>
      </w:r>
      <w:r>
        <w:t xml:space="preserve">of </w:t>
      </w:r>
      <w:r w:rsidR="0058077F">
        <w:t xml:space="preserve">this FYSO </w:t>
      </w:r>
      <w:r>
        <w:t>take</w:t>
      </w:r>
      <w:r w:rsidR="0058077F">
        <w:t>s</w:t>
      </w:r>
      <w:r>
        <w:t xml:space="preserve"> a broad view of trends in technology and spectrum uses that inform the</w:t>
      </w:r>
      <w:r w:rsidR="00B269A2">
        <w:t xml:space="preserve"> ACMA’s</w:t>
      </w:r>
      <w:r>
        <w:t xml:space="preserve"> medium</w:t>
      </w:r>
      <w:r w:rsidR="0058077F">
        <w:t>-</w:t>
      </w:r>
      <w:r>
        <w:t xml:space="preserve">term planning, </w:t>
      </w:r>
      <w:r w:rsidR="00B269A2">
        <w:t xml:space="preserve">allocation </w:t>
      </w:r>
      <w:r w:rsidR="00B269A2" w:rsidRPr="00214E77">
        <w:t xml:space="preserve">and </w:t>
      </w:r>
      <w:r w:rsidRPr="00214E77">
        <w:t>reallocation</w:t>
      </w:r>
      <w:r>
        <w:t xml:space="preserve"> activities.</w:t>
      </w:r>
      <w:r w:rsidR="00447762">
        <w:t xml:space="preserve"> </w:t>
      </w:r>
    </w:p>
    <w:p w14:paraId="3FCD45B0" w14:textId="77777777" w:rsidR="003E6F65" w:rsidRDefault="003E6F65">
      <w:r>
        <w:t>The ACMA takes account of a range of factors in planning its spectrum management work. We monitor developments in radiocommunications technology, in spectrum us</w:t>
      </w:r>
      <w:r w:rsidR="0058077F">
        <w:t>e</w:t>
      </w:r>
      <w:r>
        <w:t xml:space="preserve"> markets and in the broader policy environment to inform our allocation of resources to particular issues and regulatory outcomes.</w:t>
      </w:r>
    </w:p>
    <w:p w14:paraId="40F73A98" w14:textId="77777777" w:rsidR="001F3495" w:rsidRPr="005759E7" w:rsidRDefault="003D08DC" w:rsidP="0058077F">
      <w:pPr>
        <w:pStyle w:val="Heading2"/>
      </w:pPr>
      <w:bookmarkStart w:id="116" w:name="_Toc511716269"/>
      <w:bookmarkStart w:id="117" w:name="_Toc511719080"/>
      <w:bookmarkStart w:id="118" w:name="_Toc522794076"/>
      <w:bookmarkStart w:id="119" w:name="_Toc524517082"/>
      <w:bookmarkStart w:id="120" w:name="_Toc510104930"/>
      <w:bookmarkStart w:id="121" w:name="_Toc510105727"/>
      <w:bookmarkStart w:id="122" w:name="_Toc510795068"/>
      <w:bookmarkStart w:id="123" w:name="_Toc509581799"/>
      <w:bookmarkStart w:id="124" w:name="_Toc509585115"/>
      <w:bookmarkStart w:id="125" w:name="_Toc509585651"/>
      <w:r w:rsidRPr="005759E7">
        <w:rPr>
          <w:rStyle w:val="Heading2Char"/>
          <w:b/>
          <w:bCs/>
          <w:iCs/>
        </w:rPr>
        <w:t>Anticipated change d</w:t>
      </w:r>
      <w:r w:rsidR="007F1A09" w:rsidRPr="005759E7">
        <w:rPr>
          <w:rStyle w:val="Heading2Char"/>
          <w:b/>
          <w:bCs/>
          <w:iCs/>
        </w:rPr>
        <w:t>rivers</w:t>
      </w:r>
      <w:bookmarkEnd w:id="116"/>
      <w:bookmarkEnd w:id="117"/>
      <w:bookmarkEnd w:id="118"/>
      <w:bookmarkEnd w:id="119"/>
      <w:r w:rsidR="007F1A09" w:rsidRPr="005759E7">
        <w:rPr>
          <w:rStyle w:val="Heading2Char"/>
          <w:b/>
          <w:bCs/>
          <w:iCs/>
        </w:rPr>
        <w:t xml:space="preserve"> </w:t>
      </w:r>
      <w:bookmarkEnd w:id="120"/>
      <w:bookmarkEnd w:id="121"/>
      <w:bookmarkEnd w:id="122"/>
      <w:bookmarkEnd w:id="123"/>
      <w:bookmarkEnd w:id="124"/>
      <w:bookmarkEnd w:id="125"/>
    </w:p>
    <w:p w14:paraId="678FA1E6" w14:textId="77777777" w:rsidR="007F1A09" w:rsidRDefault="00B269A2">
      <w:bookmarkStart w:id="126" w:name="_Toc494115151"/>
      <w:bookmarkEnd w:id="115"/>
      <w:r>
        <w:t>D</w:t>
      </w:r>
      <w:r w:rsidR="007F1A09">
        <w:t xml:space="preserve">emand for new spectrum </w:t>
      </w:r>
      <w:r w:rsidR="00D210EA">
        <w:t xml:space="preserve">and </w:t>
      </w:r>
      <w:r w:rsidR="007F1A09">
        <w:t xml:space="preserve">changes to existing arrangements continue to evolve quickly, requiring the ACMA to regularly reassess the </w:t>
      </w:r>
      <w:r w:rsidR="007916F4">
        <w:t>priority of its work to reform and update planning arrangements in particular bands, as new opportunities arise to</w:t>
      </w:r>
      <w:r w:rsidR="007F1A09">
        <w:t xml:space="preserve"> maximise the overall public benefit derived from allocating and using spectrum.</w:t>
      </w:r>
    </w:p>
    <w:p w14:paraId="0C42D5BD" w14:textId="77777777" w:rsidR="007F1A09" w:rsidRPr="00D22CAE" w:rsidRDefault="007F1A09">
      <w:pPr>
        <w:rPr>
          <w:rStyle w:val="Heading2Char"/>
          <w:rFonts w:cs="Times New Roman"/>
          <w:b w:val="0"/>
          <w:bCs w:val="0"/>
          <w:i/>
          <w:iCs w:val="0"/>
          <w:sz w:val="20"/>
          <w:szCs w:val="24"/>
        </w:rPr>
      </w:pPr>
      <w:r>
        <w:t xml:space="preserve">International trends </w:t>
      </w:r>
      <w:r w:rsidDel="00B269A2">
        <w:t xml:space="preserve">that </w:t>
      </w:r>
      <w:r w:rsidR="001C4306">
        <w:t xml:space="preserve">are driving demand for spectrum include the blurring of </w:t>
      </w:r>
      <w:r>
        <w:t>distinctions between fixed and mobile broadband, rapid innovations in satellite technologies</w:t>
      </w:r>
      <w:r w:rsidR="00E47212">
        <w:t>,</w:t>
      </w:r>
      <w:r>
        <w:t xml:space="preserve"> and ongoing commercialisation of IoT applications</w:t>
      </w:r>
      <w:r w:rsidR="001C4306">
        <w:t xml:space="preserve">. </w:t>
      </w:r>
      <w:r>
        <w:t>Technology continues to develop to more efficiently exploit available spectrum, including through more efficient radiocommunications transmission and encoding technologies</w:t>
      </w:r>
      <w:r w:rsidR="001C4306">
        <w:t>,</w:t>
      </w:r>
      <w:r>
        <w:t xml:space="preserve"> as well as antenna technology</w:t>
      </w:r>
      <w:r w:rsidR="001C4306">
        <w:t xml:space="preserve"> enhancements that </w:t>
      </w:r>
      <w:r>
        <w:t>provide greater options in the use of high frequency bands.</w:t>
      </w:r>
    </w:p>
    <w:p w14:paraId="7B0E7DB0" w14:textId="77777777" w:rsidR="00E02ED8" w:rsidRDefault="00CF322E">
      <w:pPr>
        <w:rPr>
          <w:rFonts w:cs="Arial"/>
          <w:bCs/>
          <w:szCs w:val="26"/>
        </w:rPr>
      </w:pPr>
      <w:r>
        <w:rPr>
          <w:rFonts w:cs="Arial"/>
          <w:bCs/>
          <w:szCs w:val="26"/>
        </w:rPr>
        <w:t xml:space="preserve">The ACMA’s response to these demand pressures is outlined in </w:t>
      </w:r>
      <w:r w:rsidR="001C4306">
        <w:rPr>
          <w:rFonts w:cs="Arial"/>
          <w:bCs/>
          <w:szCs w:val="26"/>
        </w:rPr>
        <w:t xml:space="preserve">more detail </w:t>
      </w:r>
      <w:r>
        <w:rPr>
          <w:rFonts w:cs="Arial"/>
          <w:bCs/>
          <w:szCs w:val="26"/>
        </w:rPr>
        <w:t>in the planning and allocation work stream activities</w:t>
      </w:r>
      <w:r w:rsidR="00242E62">
        <w:rPr>
          <w:rFonts w:cs="Arial"/>
          <w:bCs/>
          <w:szCs w:val="26"/>
        </w:rPr>
        <w:t>. The information</w:t>
      </w:r>
      <w:r w:rsidDel="00242E62">
        <w:rPr>
          <w:rFonts w:cs="Arial"/>
          <w:bCs/>
          <w:szCs w:val="26"/>
        </w:rPr>
        <w:t xml:space="preserve"> </w:t>
      </w:r>
      <w:r w:rsidR="00242E62">
        <w:rPr>
          <w:rFonts w:cs="Arial"/>
          <w:bCs/>
          <w:szCs w:val="26"/>
        </w:rPr>
        <w:t>incorporates an annual work program component</w:t>
      </w:r>
      <w:r w:rsidR="003039C5">
        <w:rPr>
          <w:rFonts w:cs="Arial"/>
          <w:bCs/>
          <w:szCs w:val="26"/>
        </w:rPr>
        <w:t xml:space="preserve"> containing details of w</w:t>
      </w:r>
      <w:r w:rsidR="009A42F6">
        <w:rPr>
          <w:rFonts w:cs="Arial"/>
          <w:bCs/>
          <w:szCs w:val="26"/>
        </w:rPr>
        <w:t xml:space="preserve">hen we expect </w:t>
      </w:r>
      <w:r w:rsidR="003039C5">
        <w:rPr>
          <w:rFonts w:cs="Arial"/>
          <w:bCs/>
          <w:szCs w:val="26"/>
        </w:rPr>
        <w:t>tasks to be completed</w:t>
      </w:r>
      <w:r w:rsidR="00D745DF">
        <w:rPr>
          <w:rFonts w:cs="Arial"/>
          <w:bCs/>
          <w:szCs w:val="26"/>
        </w:rPr>
        <w:t xml:space="preserve"> during the 2018</w:t>
      </w:r>
      <w:r w:rsidR="0002172A">
        <w:rPr>
          <w:rFonts w:cs="Arial"/>
          <w:bCs/>
          <w:szCs w:val="26"/>
        </w:rPr>
        <w:t>–</w:t>
      </w:r>
      <w:r w:rsidR="00D745DF">
        <w:rPr>
          <w:rFonts w:cs="Arial"/>
          <w:bCs/>
          <w:szCs w:val="26"/>
        </w:rPr>
        <w:t>19 year</w:t>
      </w:r>
      <w:r w:rsidR="00B269A2">
        <w:rPr>
          <w:rFonts w:cs="Arial"/>
          <w:bCs/>
          <w:szCs w:val="26"/>
        </w:rPr>
        <w:t>. The five</w:t>
      </w:r>
      <w:r w:rsidR="0058077F">
        <w:rPr>
          <w:rFonts w:cs="Arial"/>
          <w:bCs/>
          <w:szCs w:val="26"/>
        </w:rPr>
        <w:t>-</w:t>
      </w:r>
      <w:r w:rsidR="00B269A2">
        <w:rPr>
          <w:rFonts w:cs="Arial"/>
          <w:bCs/>
          <w:szCs w:val="26"/>
        </w:rPr>
        <w:t xml:space="preserve">year component of the work program </w:t>
      </w:r>
      <w:r w:rsidR="003039C5">
        <w:rPr>
          <w:rFonts w:cs="Arial"/>
          <w:bCs/>
          <w:szCs w:val="26"/>
        </w:rPr>
        <w:t>does not give timing commitments as experience shows the relative priority of work in future years is liable to change. The intention is</w:t>
      </w:r>
      <w:r w:rsidR="009A42F6">
        <w:rPr>
          <w:rFonts w:cs="Arial"/>
          <w:bCs/>
          <w:szCs w:val="26"/>
        </w:rPr>
        <w:t xml:space="preserve"> to alert stakeholders to the pressures likely to shape future annual work programs. It lets the proponents of change know that ACMA is alert to issue</w:t>
      </w:r>
      <w:r w:rsidR="003039C5">
        <w:rPr>
          <w:rFonts w:cs="Arial"/>
          <w:bCs/>
          <w:szCs w:val="26"/>
        </w:rPr>
        <w:t>s</w:t>
      </w:r>
      <w:r w:rsidR="0058077F">
        <w:rPr>
          <w:rFonts w:cs="Arial"/>
          <w:bCs/>
          <w:szCs w:val="26"/>
        </w:rPr>
        <w:t>,</w:t>
      </w:r>
      <w:r w:rsidR="009A42F6">
        <w:rPr>
          <w:rFonts w:cs="Arial"/>
          <w:bCs/>
          <w:szCs w:val="26"/>
        </w:rPr>
        <w:t xml:space="preserve"> while giving notice to spectrum incumbents about the pressures emerging on planning arrangements in bands they </w:t>
      </w:r>
      <w:r w:rsidR="003039C5">
        <w:rPr>
          <w:rFonts w:cs="Arial"/>
          <w:bCs/>
          <w:szCs w:val="26"/>
        </w:rPr>
        <w:t>rely on</w:t>
      </w:r>
      <w:r w:rsidR="009A42F6">
        <w:rPr>
          <w:rFonts w:cs="Arial"/>
          <w:bCs/>
          <w:szCs w:val="26"/>
        </w:rPr>
        <w:t>.</w:t>
      </w:r>
    </w:p>
    <w:p w14:paraId="75F8B475" w14:textId="77777777" w:rsidR="001F3495" w:rsidRPr="0058077F" w:rsidRDefault="00B84965" w:rsidP="0058077F">
      <w:pPr>
        <w:pStyle w:val="Heading3"/>
      </w:pPr>
      <w:bookmarkStart w:id="127" w:name="_Toc510795069"/>
      <w:bookmarkStart w:id="128" w:name="_Toc511716270"/>
      <w:bookmarkStart w:id="129" w:name="_Toc511719081"/>
      <w:bookmarkStart w:id="130" w:name="_Toc522794077"/>
      <w:bookmarkStart w:id="131" w:name="_Toc524517083"/>
      <w:bookmarkEnd w:id="126"/>
      <w:r w:rsidRPr="0058077F">
        <w:t>Wireless broadband, including 5G</w:t>
      </w:r>
      <w:bookmarkEnd w:id="127"/>
      <w:bookmarkEnd w:id="128"/>
      <w:bookmarkEnd w:id="129"/>
      <w:bookmarkEnd w:id="130"/>
      <w:bookmarkEnd w:id="131"/>
    </w:p>
    <w:p w14:paraId="612FDF84" w14:textId="77777777" w:rsidR="00D74381" w:rsidRDefault="00835321">
      <w:r>
        <w:t xml:space="preserve">Demand for spectrum to support </w:t>
      </w:r>
      <w:r w:rsidR="00B84965">
        <w:t xml:space="preserve">wireless </w:t>
      </w:r>
      <w:r>
        <w:t xml:space="preserve">broadband continues to be a major driver </w:t>
      </w:r>
      <w:r w:rsidRPr="005629EA">
        <w:t>for changes in highest</w:t>
      </w:r>
      <w:r>
        <w:t>-</w:t>
      </w:r>
      <w:r w:rsidRPr="005629EA">
        <w:t xml:space="preserve">value </w:t>
      </w:r>
      <w:r>
        <w:t xml:space="preserve">spectrum </w:t>
      </w:r>
      <w:r w:rsidRPr="005629EA">
        <w:t xml:space="preserve">use across a </w:t>
      </w:r>
      <w:r w:rsidR="00C1152D">
        <w:t>number</w:t>
      </w:r>
      <w:r w:rsidRPr="005629EA">
        <w:t xml:space="preserve"> of bands</w:t>
      </w:r>
      <w:r w:rsidR="004D2D68">
        <w:t>. M</w:t>
      </w:r>
      <w:r>
        <w:t>obile broadband continu</w:t>
      </w:r>
      <w:r w:rsidR="004D2D68">
        <w:t>es</w:t>
      </w:r>
      <w:r>
        <w:t xml:space="preserve"> to be </w:t>
      </w:r>
      <w:r w:rsidR="00BF7D9F">
        <w:t>the largest but not the only source</w:t>
      </w:r>
      <w:r w:rsidR="005629C8">
        <w:t xml:space="preserve"> of demand</w:t>
      </w:r>
      <w:r w:rsidRPr="00125FC9">
        <w:t xml:space="preserve">. We anticipate further spectrum will be needed to support the growth in broadband applications and mobile data in particular. </w:t>
      </w:r>
    </w:p>
    <w:p w14:paraId="049EC444" w14:textId="77777777" w:rsidR="001F3495" w:rsidRDefault="00835321">
      <w:r w:rsidRPr="00125FC9">
        <w:t xml:space="preserve">The </w:t>
      </w:r>
      <w:r w:rsidR="00ED0624">
        <w:t xml:space="preserve">current </w:t>
      </w:r>
      <w:r w:rsidR="00125FC9">
        <w:t>w</w:t>
      </w:r>
      <w:r w:rsidRPr="00125FC9">
        <w:t xml:space="preserve">ork </w:t>
      </w:r>
      <w:r w:rsidR="00125FC9">
        <w:t>p</w:t>
      </w:r>
      <w:r w:rsidRPr="00125FC9">
        <w:t>rogram</w:t>
      </w:r>
      <w:r w:rsidR="001F3495">
        <w:t xml:space="preserve">, including the forward allocation </w:t>
      </w:r>
      <w:r w:rsidR="00BA6010">
        <w:t>work plan</w:t>
      </w:r>
      <w:r w:rsidR="00E57BD4">
        <w:t xml:space="preserve"> (see below)</w:t>
      </w:r>
      <w:r w:rsidR="00875AEB">
        <w:t xml:space="preserve"> and the </w:t>
      </w:r>
      <w:hyperlink r:id="rId28" w:history="1">
        <w:r w:rsidR="0058077F">
          <w:rPr>
            <w:rStyle w:val="Hyperlink"/>
          </w:rPr>
          <w:t>ACMA mobile broadband strategy</w:t>
        </w:r>
      </w:hyperlink>
      <w:r w:rsidR="001F3495">
        <w:t>,</w:t>
      </w:r>
      <w:r w:rsidRPr="00125FC9">
        <w:t xml:space="preserve"> </w:t>
      </w:r>
      <w:r>
        <w:t xml:space="preserve">remain the basis for the ACMA’s response to </w:t>
      </w:r>
      <w:r w:rsidR="00B84965">
        <w:t xml:space="preserve">wireless </w:t>
      </w:r>
      <w:r w:rsidR="00292BAD">
        <w:t>broadband spectrum demand.</w:t>
      </w:r>
    </w:p>
    <w:p w14:paraId="59DC1B1A" w14:textId="77777777" w:rsidR="0084523B" w:rsidRDefault="00875AEB" w:rsidP="0027128C">
      <w:bookmarkStart w:id="132" w:name="_Toc509581801"/>
      <w:bookmarkStart w:id="133" w:name="_Toc509585117"/>
      <w:bookmarkStart w:id="134" w:name="_Toc509585653"/>
      <w:bookmarkStart w:id="135" w:name="_Toc510104932"/>
      <w:bookmarkStart w:id="136" w:name="_Toc510105729"/>
      <w:r>
        <w:t xml:space="preserve">The rapid development of the next generation of wireless broadband technology, known as 5G, has emerged as </w:t>
      </w:r>
      <w:r w:rsidR="005629C8">
        <w:t>a key</w:t>
      </w:r>
      <w:r>
        <w:t xml:space="preserve"> driver of </w:t>
      </w:r>
      <w:r w:rsidR="00BF7D9F">
        <w:t xml:space="preserve">change to existing </w:t>
      </w:r>
      <w:r>
        <w:t xml:space="preserve">spectrum </w:t>
      </w:r>
      <w:r w:rsidR="00BF7D9F">
        <w:t>arrangements</w:t>
      </w:r>
      <w:r>
        <w:t xml:space="preserve">. This is the case not only </w:t>
      </w:r>
      <w:r w:rsidR="00BF7D9F">
        <w:t xml:space="preserve">because of the potential for reallocation </w:t>
      </w:r>
      <w:r w:rsidR="00EE1182">
        <w:t xml:space="preserve">of </w:t>
      </w:r>
      <w:r w:rsidR="00BF7D9F">
        <w:t>additional</w:t>
      </w:r>
      <w:r>
        <w:t xml:space="preserve"> spectrum bands to support its deployment, but </w:t>
      </w:r>
      <w:r w:rsidR="00BF7D9F">
        <w:t xml:space="preserve">because its particular </w:t>
      </w:r>
      <w:r w:rsidR="00BF7D9F">
        <w:lastRenderedPageBreak/>
        <w:t>characteristics, and the characteristics of some of the bands into which it will be introduced, challenge us to consider new ways to</w:t>
      </w:r>
      <w:r>
        <w:t xml:space="preserve"> plan and licen</w:t>
      </w:r>
      <w:r w:rsidR="00BF7D9F">
        <w:t>se</w:t>
      </w:r>
      <w:r>
        <w:t xml:space="preserve"> that spectrum.</w:t>
      </w:r>
    </w:p>
    <w:p w14:paraId="6C088956" w14:textId="77777777" w:rsidR="005629C8" w:rsidRDefault="0084523B" w:rsidP="0027128C">
      <w:r>
        <w:t xml:space="preserve">The definition of 5G has been firming over the past 12 months, both in the </w:t>
      </w:r>
      <w:r w:rsidRPr="00A60850">
        <w:rPr>
          <w:rFonts w:cs="Arial"/>
          <w:szCs w:val="20"/>
        </w:rPr>
        <w:t>I</w:t>
      </w:r>
      <w:r>
        <w:rPr>
          <w:rFonts w:cs="Arial"/>
          <w:szCs w:val="20"/>
        </w:rPr>
        <w:t xml:space="preserve">nternational </w:t>
      </w:r>
      <w:r w:rsidRPr="00A60850">
        <w:rPr>
          <w:rFonts w:cs="Arial"/>
          <w:szCs w:val="20"/>
        </w:rPr>
        <w:t>T</w:t>
      </w:r>
      <w:r>
        <w:rPr>
          <w:rFonts w:cs="Arial"/>
          <w:szCs w:val="20"/>
        </w:rPr>
        <w:t xml:space="preserve">elecommunication </w:t>
      </w:r>
      <w:r w:rsidRPr="00A60850">
        <w:rPr>
          <w:rFonts w:cs="Arial"/>
          <w:szCs w:val="20"/>
        </w:rPr>
        <w:t>U</w:t>
      </w:r>
      <w:r>
        <w:rPr>
          <w:rFonts w:cs="Arial"/>
          <w:szCs w:val="20"/>
        </w:rPr>
        <w:t>nion</w:t>
      </w:r>
      <w:r w:rsidRPr="00A60850">
        <w:rPr>
          <w:rFonts w:cs="Arial"/>
          <w:szCs w:val="20"/>
        </w:rPr>
        <w:t xml:space="preserve"> Ra</w:t>
      </w:r>
      <w:r>
        <w:rPr>
          <w:rFonts w:cs="Arial"/>
          <w:szCs w:val="20"/>
        </w:rPr>
        <w:t>diocommunication Sector (ITU-R)</w:t>
      </w:r>
      <w:r>
        <w:t xml:space="preserve"> in terms of defining IMT-2020</w:t>
      </w:r>
      <w:r>
        <w:rPr>
          <w:rStyle w:val="FootnoteReference"/>
        </w:rPr>
        <w:footnoteReference w:id="3"/>
      </w:r>
      <w:r w:rsidR="00EE1182">
        <w:t>,</w:t>
      </w:r>
      <w:r>
        <w:t xml:space="preserve"> and in 3GPP in </w:t>
      </w:r>
      <w:r w:rsidR="005629C8">
        <w:t xml:space="preserve">its </w:t>
      </w:r>
      <w:r>
        <w:t xml:space="preserve">work </w:t>
      </w:r>
      <w:r w:rsidR="005629C8">
        <w:t>on</w:t>
      </w:r>
      <w:r>
        <w:t xml:space="preserve"> Release 15, which is focusing on the enhanced mobile broadband aspect of 5G.</w:t>
      </w:r>
      <w:r>
        <w:rPr>
          <w:rStyle w:val="FootnoteReference"/>
        </w:rPr>
        <w:footnoteReference w:id="4"/>
      </w:r>
      <w:r>
        <w:t xml:space="preserve"> </w:t>
      </w:r>
    </w:p>
    <w:p w14:paraId="1E89A0BB" w14:textId="77777777" w:rsidR="005629C8" w:rsidRDefault="0084523B" w:rsidP="005759E7">
      <w:pPr>
        <w:spacing w:after="80"/>
      </w:pPr>
      <w:r>
        <w:rPr>
          <w:color w:val="000000"/>
        </w:rPr>
        <w:t>D</w:t>
      </w:r>
      <w:r w:rsidRPr="003F5BF2">
        <w:rPr>
          <w:color w:val="000000"/>
        </w:rPr>
        <w:t xml:space="preserve">efining objectives </w:t>
      </w:r>
      <w:r>
        <w:rPr>
          <w:color w:val="000000"/>
        </w:rPr>
        <w:t>of</w:t>
      </w:r>
      <w:r w:rsidRPr="003F5BF2">
        <w:rPr>
          <w:color w:val="000000"/>
        </w:rPr>
        <w:t xml:space="preserve"> 5G that </w:t>
      </w:r>
      <w:r>
        <w:rPr>
          <w:color w:val="000000"/>
        </w:rPr>
        <w:t>distinguish</w:t>
      </w:r>
      <w:r w:rsidRPr="003F5BF2">
        <w:rPr>
          <w:color w:val="000000"/>
        </w:rPr>
        <w:t xml:space="preserve"> it </w:t>
      </w:r>
      <w:r w:rsidRPr="00D1185A">
        <w:t>from previous developments continue to include</w:t>
      </w:r>
      <w:r w:rsidR="005629C8">
        <w:t>:</w:t>
      </w:r>
    </w:p>
    <w:p w14:paraId="20E7DC69" w14:textId="77777777" w:rsidR="005629C8" w:rsidRPr="00BE7AFE" w:rsidRDefault="0084523B" w:rsidP="005759E7">
      <w:pPr>
        <w:pStyle w:val="ListBullet"/>
        <w:rPr>
          <w:color w:val="000000"/>
        </w:rPr>
      </w:pPr>
      <w:r w:rsidRPr="00D1185A">
        <w:t>support for very low latency and ultra-reliable communications</w:t>
      </w:r>
    </w:p>
    <w:p w14:paraId="79FF5DA4" w14:textId="77777777" w:rsidR="0047527A" w:rsidRPr="00BE7AFE" w:rsidRDefault="0084523B" w:rsidP="005759E7">
      <w:pPr>
        <w:pStyle w:val="ListBullet"/>
        <w:rPr>
          <w:color w:val="000000"/>
        </w:rPr>
      </w:pPr>
      <w:r w:rsidRPr="00D1185A">
        <w:t>enhanced mobile broadband enabling data rates exceeding that of LTE/4G</w:t>
      </w:r>
    </w:p>
    <w:p w14:paraId="54B850F1" w14:textId="77777777" w:rsidR="0047527A" w:rsidRPr="00BE7AFE" w:rsidRDefault="0084523B" w:rsidP="005759E7">
      <w:pPr>
        <w:pStyle w:val="ListBullet"/>
        <w:rPr>
          <w:color w:val="000000"/>
        </w:rPr>
      </w:pPr>
      <w:r>
        <w:t>an ‘anytime, anywhere, anyone and anything’ capability, which is anticipated</w:t>
      </w:r>
      <w:r w:rsidDel="00D1185A">
        <w:t xml:space="preserve"> </w:t>
      </w:r>
      <w:r>
        <w:t xml:space="preserve">to play a role in supporting multiple device M2M communications and a wider deployment of the </w:t>
      </w:r>
      <w:r w:rsidRPr="00C367FC">
        <w:t>IoT</w:t>
      </w:r>
    </w:p>
    <w:p w14:paraId="3E060AD6" w14:textId="77777777" w:rsidR="0084523B" w:rsidRDefault="0047527A" w:rsidP="005759E7">
      <w:pPr>
        <w:pStyle w:val="ListBulletLast"/>
        <w:rPr>
          <w:color w:val="000000"/>
        </w:rPr>
      </w:pPr>
      <w:r w:rsidRPr="0047527A">
        <w:t xml:space="preserve">its use of broader channel bandwidths than </w:t>
      </w:r>
      <w:r w:rsidR="00BF7D9F">
        <w:t>are</w:t>
      </w:r>
      <w:r w:rsidRPr="0047527A">
        <w:t xml:space="preserve"> currently used for wireless broadband services, particularly in the mid and high bands where channel bandwidths of hundreds of MHz are being contemplated.</w:t>
      </w:r>
      <w:r w:rsidR="00447762">
        <w:t xml:space="preserve"> </w:t>
      </w:r>
    </w:p>
    <w:p w14:paraId="08DA930E" w14:textId="77777777" w:rsidR="0047527A" w:rsidRDefault="0084523B" w:rsidP="005759E7">
      <w:pPr>
        <w:spacing w:after="80"/>
      </w:pPr>
      <w:r w:rsidRPr="003F5BF2">
        <w:t xml:space="preserve">From a spectrum </w:t>
      </w:r>
      <w:r w:rsidR="00353B4E">
        <w:t xml:space="preserve">management </w:t>
      </w:r>
      <w:r w:rsidRPr="003F5BF2">
        <w:t>perspective</w:t>
      </w:r>
      <w:r>
        <w:t>,</w:t>
      </w:r>
      <w:r w:rsidRPr="003F5BF2">
        <w:t xml:space="preserve"> 5G appears certain to </w:t>
      </w:r>
      <w:r w:rsidR="0075534E">
        <w:t xml:space="preserve">utilise spectrum </w:t>
      </w:r>
      <w:r w:rsidR="0047527A">
        <w:t xml:space="preserve">across </w:t>
      </w:r>
      <w:r w:rsidR="00BF7D9F">
        <w:t xml:space="preserve">an unprecedentedly wide range of </w:t>
      </w:r>
      <w:r w:rsidR="0075534E">
        <w:t>frequency bands. This will include</w:t>
      </w:r>
      <w:r w:rsidR="0047527A">
        <w:t>:</w:t>
      </w:r>
    </w:p>
    <w:p w14:paraId="4448355C" w14:textId="77777777" w:rsidR="0047527A" w:rsidRDefault="0075534E" w:rsidP="005759E7">
      <w:pPr>
        <w:pStyle w:val="ListBullet"/>
      </w:pPr>
      <w:r>
        <w:t>‘low</w:t>
      </w:r>
      <w:r w:rsidR="00EE1182">
        <w:t>-</w:t>
      </w:r>
      <w:r>
        <w:t>band’ spectrum below 1 GHz</w:t>
      </w:r>
      <w:r w:rsidR="00EE1182">
        <w:t>,</w:t>
      </w:r>
      <w:r w:rsidR="0084523B" w:rsidRPr="003F5BF2">
        <w:t xml:space="preserve"> </w:t>
      </w:r>
      <w:r>
        <w:t>much of which is already used for mobile broadband networks</w:t>
      </w:r>
    </w:p>
    <w:p w14:paraId="2133E9E2" w14:textId="77777777" w:rsidR="0047527A" w:rsidRDefault="0075534E" w:rsidP="005759E7">
      <w:pPr>
        <w:pStyle w:val="ListBullet"/>
      </w:pPr>
      <w:r>
        <w:t>‘mid</w:t>
      </w:r>
      <w:r w:rsidR="00EE1182">
        <w:t>-</w:t>
      </w:r>
      <w:r>
        <w:t xml:space="preserve">band’ spectrum between 1 and 6 GHz </w:t>
      </w:r>
    </w:p>
    <w:p w14:paraId="5FA04650" w14:textId="77777777" w:rsidR="0047527A" w:rsidRDefault="0075534E" w:rsidP="005759E7">
      <w:pPr>
        <w:pStyle w:val="ListBulletLast"/>
      </w:pPr>
      <w:r>
        <w:t>’high bands’</w:t>
      </w:r>
      <w:r w:rsidR="00EE1182">
        <w:t>,</w:t>
      </w:r>
      <w:r>
        <w:t xml:space="preserve"> including in the previously unused </w:t>
      </w:r>
      <w:r w:rsidR="00C33176">
        <w:t>millimetre wave (</w:t>
      </w:r>
      <w:r>
        <w:t>mmWave</w:t>
      </w:r>
      <w:r w:rsidR="00C33176">
        <w:t>)</w:t>
      </w:r>
      <w:r w:rsidRPr="003F5BF2">
        <w:t xml:space="preserve"> bands</w:t>
      </w:r>
      <w:r w:rsidR="00AC7D4B">
        <w:rPr>
          <w:rStyle w:val="FootnoteReference"/>
        </w:rPr>
        <w:footnoteReference w:id="5"/>
      </w:r>
      <w:r w:rsidR="00EE1182">
        <w:t xml:space="preserve">, </w:t>
      </w:r>
      <w:r w:rsidR="00AC7D4B">
        <w:t>wh</w:t>
      </w:r>
      <w:r w:rsidR="00BF7D9F">
        <w:t>ich are the focus for much of our current wireless broadband</w:t>
      </w:r>
      <w:r w:rsidR="00EE1182">
        <w:t>-</w:t>
      </w:r>
      <w:r w:rsidR="00BF7D9F">
        <w:t>related planning work</w:t>
      </w:r>
      <w:r>
        <w:t>.</w:t>
      </w:r>
    </w:p>
    <w:p w14:paraId="22B64248" w14:textId="77777777" w:rsidR="00AC7D4B" w:rsidRDefault="00AC7D4B" w:rsidP="0027128C">
      <w:r>
        <w:t>In addition to the use of ‘new’ frequency bands, w</w:t>
      </w:r>
      <w:r w:rsidRPr="009F20B4">
        <w:t>e expect t</w:t>
      </w:r>
      <w:r>
        <w:t>hat</w:t>
      </w:r>
      <w:r w:rsidRPr="009F20B4">
        <w:t xml:space="preserve"> many of the bands already available for broadband in Australia will be re-farmed </w:t>
      </w:r>
      <w:r>
        <w:t xml:space="preserve">over time by </w:t>
      </w:r>
      <w:r w:rsidR="0047527A">
        <w:t xml:space="preserve">incumbent users </w:t>
      </w:r>
      <w:r>
        <w:t xml:space="preserve">for 5G technologies. </w:t>
      </w:r>
    </w:p>
    <w:p w14:paraId="4519881E" w14:textId="77777777" w:rsidR="000F51E4" w:rsidRPr="00414F57" w:rsidRDefault="0075534E" w:rsidP="008B6F4A">
      <w:pPr>
        <w:spacing w:after="80"/>
      </w:pPr>
      <w:r>
        <w:t xml:space="preserve">Globally, 5G is </w:t>
      </w:r>
      <w:r w:rsidDel="004D2D68">
        <w:t xml:space="preserve">seen as </w:t>
      </w:r>
      <w:r w:rsidR="004D2D68">
        <w:t>having</w:t>
      </w:r>
      <w:r>
        <w:t xml:space="preserve"> </w:t>
      </w:r>
      <w:r w:rsidR="00AC7D4B">
        <w:t xml:space="preserve">potentially revolutionary </w:t>
      </w:r>
      <w:r>
        <w:t>economy</w:t>
      </w:r>
      <w:r w:rsidR="00EE1182">
        <w:t>-</w:t>
      </w:r>
      <w:r>
        <w:t>wide benefits</w:t>
      </w:r>
      <w:r w:rsidR="002813BF">
        <w:rPr>
          <w:rStyle w:val="FootnoteReference"/>
        </w:rPr>
        <w:footnoteReference w:id="6"/>
      </w:r>
      <w:r>
        <w:t xml:space="preserve">, including in areas not traditionally </w:t>
      </w:r>
      <w:r w:rsidR="004D2D68">
        <w:t>associated</w:t>
      </w:r>
      <w:r>
        <w:t xml:space="preserve"> </w:t>
      </w:r>
      <w:r w:rsidR="004D2D68">
        <w:t>with fixed and</w:t>
      </w:r>
      <w:r w:rsidR="002256FC">
        <w:t xml:space="preserve"> </w:t>
      </w:r>
      <w:r w:rsidR="004D2D68">
        <w:t>mobile wireless broadband</w:t>
      </w:r>
      <w:r>
        <w:t xml:space="preserve">. </w:t>
      </w:r>
      <w:bookmarkEnd w:id="132"/>
      <w:bookmarkEnd w:id="133"/>
      <w:bookmarkEnd w:id="134"/>
      <w:bookmarkEnd w:id="135"/>
      <w:bookmarkEnd w:id="136"/>
      <w:r w:rsidR="00F03D7F" w:rsidRPr="00414F57">
        <w:t>On 12 October 201</w:t>
      </w:r>
      <w:r w:rsidR="006D6657" w:rsidRPr="00414F57">
        <w:t>7</w:t>
      </w:r>
      <w:r w:rsidR="00F03D7F" w:rsidRPr="00414F57">
        <w:t xml:space="preserve">, the </w:t>
      </w:r>
      <w:r w:rsidR="00F7439E" w:rsidRPr="00414F57">
        <w:t>g</w:t>
      </w:r>
      <w:r w:rsidR="00F03D7F" w:rsidRPr="00414F57">
        <w:t>overnment released the directions paper</w:t>
      </w:r>
      <w:r w:rsidR="00F7439E" w:rsidRPr="00414F57">
        <w:t>,</w:t>
      </w:r>
      <w:r w:rsidR="00F03D7F" w:rsidRPr="00414F57">
        <w:t xml:space="preserve"> </w:t>
      </w:r>
      <w:hyperlink r:id="rId29" w:history="1">
        <w:r w:rsidR="00F03D7F" w:rsidRPr="00CE00C9">
          <w:rPr>
            <w:rStyle w:val="Hyperlink"/>
            <w:i/>
          </w:rPr>
          <w:t>5G—Enabling the future economy</w:t>
        </w:r>
      </w:hyperlink>
      <w:r w:rsidR="00F03D7F" w:rsidRPr="00CE00C9">
        <w:t xml:space="preserve"> and announced that a working group to drive the deployment of 5G mobile technology in Australia would be convened</w:t>
      </w:r>
      <w:r w:rsidR="00F7439E" w:rsidRPr="00CE00C9">
        <w:t>.</w:t>
      </w:r>
      <w:r w:rsidR="00F03D7F" w:rsidRPr="00CE00C9">
        <w:rPr>
          <w:rStyle w:val="FootnoteReference"/>
        </w:rPr>
        <w:footnoteReference w:id="7"/>
      </w:r>
      <w:r w:rsidR="00F03D7F" w:rsidRPr="00CE00C9">
        <w:t xml:space="preserve"> </w:t>
      </w:r>
      <w:r w:rsidR="000F51E4" w:rsidRPr="00CE00C9">
        <w:t xml:space="preserve">The directions paper outlines the immediate actions for </w:t>
      </w:r>
      <w:r w:rsidR="00EE1182" w:rsidRPr="00CE00C9">
        <w:t>g</w:t>
      </w:r>
      <w:r w:rsidR="000F51E4" w:rsidRPr="00CE00C9">
        <w:t>overnment to take that will support the timely rollout of 5G in Australia. These include:</w:t>
      </w:r>
    </w:p>
    <w:p w14:paraId="7F87B711" w14:textId="77777777" w:rsidR="000F51E4" w:rsidRPr="00BE7AFE" w:rsidRDefault="000F51E4" w:rsidP="008B6F4A">
      <w:pPr>
        <w:pStyle w:val="ListBullet"/>
      </w:pPr>
      <w:r w:rsidRPr="00BE7AFE">
        <w:t>making spectrum available in a timely manner</w:t>
      </w:r>
    </w:p>
    <w:p w14:paraId="14871505" w14:textId="77777777" w:rsidR="000F51E4" w:rsidRPr="00BE7AFE" w:rsidRDefault="000F51E4" w:rsidP="008B6F4A">
      <w:pPr>
        <w:pStyle w:val="ListBullet"/>
      </w:pPr>
      <w:r w:rsidRPr="00BE7AFE">
        <w:t>actively engaging in the international standardisation process</w:t>
      </w:r>
    </w:p>
    <w:p w14:paraId="1D3E0E73" w14:textId="77777777" w:rsidR="000F51E4" w:rsidRPr="00BE7AFE" w:rsidRDefault="000F51E4" w:rsidP="008B6F4A">
      <w:pPr>
        <w:pStyle w:val="ListBullet"/>
      </w:pPr>
      <w:r w:rsidRPr="00BE7AFE">
        <w:t>streamlining arrangements to allow mobile carriers to deploy infrastructure more quickly</w:t>
      </w:r>
    </w:p>
    <w:p w14:paraId="70BD1D01" w14:textId="77777777" w:rsidR="000F51E4" w:rsidRPr="00BE7AFE" w:rsidRDefault="000F51E4" w:rsidP="008B6F4A">
      <w:pPr>
        <w:pStyle w:val="ListBulletLast"/>
      </w:pPr>
      <w:r w:rsidRPr="00BE7AFE">
        <w:lastRenderedPageBreak/>
        <w:t>reviewing existing telecommunications regulatory arrangements to ensure they are fit-for-purpose.</w:t>
      </w:r>
    </w:p>
    <w:p w14:paraId="220E974A" w14:textId="77777777" w:rsidR="000F51E4" w:rsidRDefault="00F03D7F" w:rsidP="0027128C">
      <w:r>
        <w:t xml:space="preserve">The directions paper highlighted that the </w:t>
      </w:r>
      <w:r w:rsidR="00F7439E">
        <w:t>g</w:t>
      </w:r>
      <w:r>
        <w:t xml:space="preserve">overnment will support </w:t>
      </w:r>
      <w:r w:rsidR="000B3A6E">
        <w:t xml:space="preserve">the </w:t>
      </w:r>
      <w:r>
        <w:t>5G rollout in Australia</w:t>
      </w:r>
      <w:r w:rsidR="00F7439E">
        <w:t>,</w:t>
      </w:r>
      <w:r>
        <w:t xml:space="preserve"> including by making spectrum available in a timely manner. </w:t>
      </w:r>
      <w:r w:rsidR="000F51E4">
        <w:t xml:space="preserve">Since then, the </w:t>
      </w:r>
      <w:r w:rsidR="00EE1182">
        <w:t>m</w:t>
      </w:r>
      <w:r w:rsidR="000F51E4">
        <w:t xml:space="preserve">inister has made a reallocation declaration for the 3.6 GHz band, to enable an auction to be held in </w:t>
      </w:r>
      <w:r w:rsidR="00CF1FEF">
        <w:t xml:space="preserve">November </w:t>
      </w:r>
      <w:r w:rsidR="000F51E4">
        <w:t>2018 for this first 5G band in Australia.</w:t>
      </w:r>
    </w:p>
    <w:p w14:paraId="24CEC953" w14:textId="77777777" w:rsidR="000F51E4" w:rsidRPr="00414F57" w:rsidRDefault="000F51E4">
      <w:r w:rsidRPr="00414F57">
        <w:t xml:space="preserve">The </w:t>
      </w:r>
      <w:r w:rsidR="00EE1182" w:rsidRPr="00414F57">
        <w:t>g</w:t>
      </w:r>
      <w:r w:rsidRPr="00414F57">
        <w:t xml:space="preserve">overnment has convened a working group to bring together representatives from across </w:t>
      </w:r>
      <w:r w:rsidR="00EE1182" w:rsidRPr="00414F57">
        <w:t>g</w:t>
      </w:r>
      <w:r w:rsidRPr="00414F57">
        <w:t>overnment and industry</w:t>
      </w:r>
      <w:r w:rsidR="009F07F5" w:rsidRPr="00414F57">
        <w:t>, including the ACMA</w:t>
      </w:r>
      <w:r w:rsidRPr="00414F57">
        <w:t xml:space="preserve">. </w:t>
      </w:r>
      <w:r w:rsidR="009F07F5" w:rsidRPr="00414F57">
        <w:t xml:space="preserve">At its first meeting, the group agreed that further exploration of the autonomous vehicles, agricultural and health sectors would provide a good platform to examine the barriers and enablers to 5G use in Australia. </w:t>
      </w:r>
      <w:r w:rsidRPr="00414F57">
        <w:t xml:space="preserve">Further information on the working group </w:t>
      </w:r>
      <w:r w:rsidR="009F07F5" w:rsidRPr="00414F57">
        <w:t>is</w:t>
      </w:r>
      <w:r w:rsidRPr="00414F57">
        <w:t xml:space="preserve"> made available on the website</w:t>
      </w:r>
      <w:r w:rsidR="009E08B9" w:rsidRPr="00414F57">
        <w:t xml:space="preserve"> of the Department of Communications and the Arts (</w:t>
      </w:r>
      <w:r w:rsidR="007261F6" w:rsidRPr="00414F57">
        <w:t>DoCA</w:t>
      </w:r>
      <w:r w:rsidR="009E08B9" w:rsidRPr="00414F57">
        <w:t>)</w:t>
      </w:r>
      <w:r w:rsidRPr="00414F57">
        <w:t>.</w:t>
      </w:r>
    </w:p>
    <w:p w14:paraId="2C0E4E05" w14:textId="77777777" w:rsidR="005629C8" w:rsidRDefault="00835321">
      <w:r>
        <w:t xml:space="preserve">The ACMA acknowledges the importance and </w:t>
      </w:r>
      <w:r w:rsidR="007269E8">
        <w:t>urgency</w:t>
      </w:r>
      <w:r>
        <w:t xml:space="preserve"> of </w:t>
      </w:r>
      <w:r w:rsidR="007269E8">
        <w:t xml:space="preserve">addressing the </w:t>
      </w:r>
      <w:r>
        <w:t xml:space="preserve">5G spectrum </w:t>
      </w:r>
      <w:r w:rsidR="007269E8">
        <w:t>challenge</w:t>
      </w:r>
      <w:r>
        <w:t xml:space="preserve"> and is committed to ensuring that Australia is well placed to take advantage of the opportunities offered by 5G.</w:t>
      </w:r>
    </w:p>
    <w:p w14:paraId="3BD3D9A1" w14:textId="77777777" w:rsidR="00D82D08" w:rsidRPr="00414F57" w:rsidRDefault="00512E30" w:rsidP="00512E30">
      <w:r w:rsidRPr="00414F57">
        <w:t xml:space="preserve">Each of the broad bands identified for wireless broadband/5G consideration requires a specific approach by the ACMA. This </w:t>
      </w:r>
      <w:r w:rsidR="00387B74">
        <w:t>i</w:t>
      </w:r>
      <w:r w:rsidR="0002172A">
        <w:t xml:space="preserve">s </w:t>
      </w:r>
      <w:r w:rsidRPr="00414F57">
        <w:t xml:space="preserve">because different </w:t>
      </w:r>
      <w:r w:rsidR="00D82D08" w:rsidRPr="00414F57">
        <w:t>considerations apply</w:t>
      </w:r>
      <w:r w:rsidR="002C6A94" w:rsidRPr="00414F57">
        <w:t>,</w:t>
      </w:r>
      <w:r w:rsidR="00D82D08" w:rsidRPr="00414F57">
        <w:t xml:space="preserve"> such as </w:t>
      </w:r>
      <w:r w:rsidRPr="00414F57">
        <w:t>international harmonisation and standardisation, domestic policy, legacy planning and allocation arrangements</w:t>
      </w:r>
      <w:r w:rsidR="002C6A94" w:rsidRPr="00414F57">
        <w:t>,</w:t>
      </w:r>
      <w:r w:rsidRPr="00414F57">
        <w:t xml:space="preserve"> and other </w:t>
      </w:r>
      <w:r w:rsidR="00D82D08" w:rsidRPr="00414F57">
        <w:t xml:space="preserve">incumbency </w:t>
      </w:r>
      <w:r w:rsidRPr="00414F57">
        <w:t>factors</w:t>
      </w:r>
      <w:r w:rsidR="00D82D08" w:rsidRPr="00414F57">
        <w:t>.</w:t>
      </w:r>
    </w:p>
    <w:p w14:paraId="4950B7BA" w14:textId="77777777" w:rsidR="00D82D08" w:rsidRPr="00414F57" w:rsidRDefault="00512E30" w:rsidP="005759E7">
      <w:pPr>
        <w:spacing w:after="80"/>
      </w:pPr>
      <w:r w:rsidRPr="00414F57">
        <w:t>In the bands below 1 GHz, the A</w:t>
      </w:r>
      <w:r w:rsidR="00361357" w:rsidRPr="00414F57">
        <w:t>CMA</w:t>
      </w:r>
      <w:r w:rsidRPr="00414F57">
        <w:t xml:space="preserve"> has two primary short</w:t>
      </w:r>
      <w:r w:rsidR="002C6A94" w:rsidRPr="00414F57">
        <w:t>-</w:t>
      </w:r>
      <w:r w:rsidRPr="00414F57">
        <w:t xml:space="preserve"> to medium</w:t>
      </w:r>
      <w:r w:rsidR="002C6A94" w:rsidRPr="00414F57">
        <w:t>-</w:t>
      </w:r>
      <w:r w:rsidRPr="00414F57">
        <w:t>term objectives</w:t>
      </w:r>
      <w:r w:rsidR="00D82D08" w:rsidRPr="00414F57">
        <w:t>:</w:t>
      </w:r>
    </w:p>
    <w:p w14:paraId="38A523ED" w14:textId="77777777" w:rsidR="00D82D08" w:rsidRPr="00414F57" w:rsidRDefault="00B6218E" w:rsidP="005759E7">
      <w:pPr>
        <w:pStyle w:val="ListBullet"/>
      </w:pPr>
      <w:r w:rsidRPr="00414F57">
        <w:t xml:space="preserve">working with industry as necessary, </w:t>
      </w:r>
      <w:r w:rsidR="00A25816" w:rsidRPr="00414F57">
        <w:t>optimize</w:t>
      </w:r>
      <w:r w:rsidR="002C6A94" w:rsidRPr="00414F57">
        <w:t xml:space="preserve"> </w:t>
      </w:r>
      <w:r w:rsidR="00512E30" w:rsidRPr="00414F57">
        <w:t xml:space="preserve">the </w:t>
      </w:r>
      <w:r w:rsidR="00A25816" w:rsidRPr="00414F57">
        <w:t xml:space="preserve">efficient configuration of </w:t>
      </w:r>
      <w:r w:rsidR="00512E30" w:rsidRPr="00414F57">
        <w:t xml:space="preserve">the </w:t>
      </w:r>
      <w:r w:rsidR="00A25816" w:rsidRPr="00414F57">
        <w:t xml:space="preserve">850 and </w:t>
      </w:r>
      <w:r w:rsidR="00512E30" w:rsidRPr="00414F57">
        <w:t>900 MHz band</w:t>
      </w:r>
      <w:r w:rsidR="00A25816" w:rsidRPr="00414F57">
        <w:t xml:space="preserve"> allocations</w:t>
      </w:r>
      <w:r w:rsidR="00D82D08" w:rsidRPr="00414F57">
        <w:t>,</w:t>
      </w:r>
      <w:r w:rsidR="00512E30" w:rsidRPr="00414F57">
        <w:t xml:space="preserve"> </w:t>
      </w:r>
      <w:r w:rsidR="00A25816" w:rsidRPr="00414F57">
        <w:t>mostly</w:t>
      </w:r>
      <w:r w:rsidR="00512E30" w:rsidRPr="00414F57">
        <w:t xml:space="preserve"> already </w:t>
      </w:r>
      <w:r w:rsidR="00A25816" w:rsidRPr="00414F57">
        <w:t>allocated</w:t>
      </w:r>
      <w:r w:rsidR="00512E30" w:rsidRPr="00414F57">
        <w:t xml:space="preserve"> for mobile broadband purposes</w:t>
      </w:r>
      <w:r w:rsidR="00D82D08" w:rsidRPr="00414F57">
        <w:t>,</w:t>
      </w:r>
      <w:r w:rsidR="00512E30" w:rsidRPr="00414F57">
        <w:t xml:space="preserve"> </w:t>
      </w:r>
      <w:r w:rsidRPr="00414F57">
        <w:t xml:space="preserve">including by securing a </w:t>
      </w:r>
      <w:r w:rsidR="00A25816" w:rsidRPr="00414F57">
        <w:t xml:space="preserve">1 MHz </w:t>
      </w:r>
      <w:r w:rsidRPr="00414F57">
        <w:t xml:space="preserve">downshift of the 850 MHz spectrum </w:t>
      </w:r>
      <w:r w:rsidR="00A25816" w:rsidRPr="00414F57">
        <w:t>l</w:t>
      </w:r>
      <w:r w:rsidR="00CB2B01" w:rsidRPr="00414F57">
        <w:t>icences</w:t>
      </w:r>
    </w:p>
    <w:p w14:paraId="32600E45" w14:textId="77777777" w:rsidR="00D82D08" w:rsidRPr="00414F57" w:rsidRDefault="00512E30" w:rsidP="005759E7">
      <w:pPr>
        <w:pStyle w:val="ListBulletLast"/>
      </w:pPr>
      <w:r w:rsidRPr="00414F57">
        <w:t xml:space="preserve">implement the </w:t>
      </w:r>
      <w:r w:rsidR="002C6A94" w:rsidRPr="00414F57">
        <w:t>existing</w:t>
      </w:r>
      <w:r w:rsidRPr="00414F57">
        <w:t xml:space="preserve"> planning decision to make additional spectrum available for mobile broadband in the 850 MHz expansion band. </w:t>
      </w:r>
    </w:p>
    <w:p w14:paraId="2A10385F" w14:textId="77777777" w:rsidR="00512E30" w:rsidRPr="00414F57" w:rsidRDefault="00512E30" w:rsidP="00D82D08">
      <w:r w:rsidRPr="00414F57">
        <w:t>Beyond these regulator</w:t>
      </w:r>
      <w:r w:rsidR="00D82D08" w:rsidRPr="00414F57">
        <w:t>-initiated</w:t>
      </w:r>
      <w:r w:rsidRPr="00414F57">
        <w:t xml:space="preserve"> activities, the ACMA notes the potential for </w:t>
      </w:r>
      <w:r w:rsidR="00D82D08" w:rsidRPr="00414F57">
        <w:t xml:space="preserve">commercial negotiations to achieve a </w:t>
      </w:r>
      <w:r w:rsidRPr="00414F57">
        <w:t xml:space="preserve">consolidation of licensee holdings between the various bands below 1 GHz. </w:t>
      </w:r>
      <w:r w:rsidR="00D82D08" w:rsidRPr="00414F57">
        <w:t xml:space="preserve">Such a consolidation </w:t>
      </w:r>
      <w:r w:rsidRPr="00414F57">
        <w:t>could deliver benefits of larger contiguous holdings for licensees, likely offering some technical efficiencies, along with reducing the number of bands used with potential infrastructure benefits for licensees.</w:t>
      </w:r>
    </w:p>
    <w:p w14:paraId="4B4F5D0B" w14:textId="06B750E5" w:rsidR="00F850E7" w:rsidRPr="00414F57" w:rsidRDefault="00512E30" w:rsidP="00863342">
      <w:r w:rsidRPr="00414F57">
        <w:t>The mid</w:t>
      </w:r>
      <w:r w:rsidR="002C6A94" w:rsidRPr="00414F57">
        <w:t>-</w:t>
      </w:r>
      <w:r w:rsidRPr="00414F57">
        <w:t>bands between 1 and 6 GHz are currently the focus of near</w:t>
      </w:r>
      <w:r w:rsidR="002C6A94" w:rsidRPr="00414F57">
        <w:t>-</w:t>
      </w:r>
      <w:r w:rsidRPr="00414F57">
        <w:t>term 5G deployments around 3.4 to 3.7 GHz. Following the completion of the current allocation priority of the 3.6 GHz band, the ACMA sees a major opportunity for efficiency gains through the defragmentation of the current 3.4</w:t>
      </w:r>
      <w:r w:rsidR="006626AE">
        <w:t xml:space="preserve"> and</w:t>
      </w:r>
      <w:r w:rsidRPr="00414F57">
        <w:t xml:space="preserve"> 3.5 GHz holdings.</w:t>
      </w:r>
      <w:r w:rsidR="00B514B8" w:rsidRPr="00414F57">
        <w:t xml:space="preserve"> T</w:t>
      </w:r>
      <w:r w:rsidRPr="00414F57">
        <w:t xml:space="preserve">his will require both industry commitment and ACMA assistance to achieve. </w:t>
      </w:r>
      <w:r w:rsidR="00863342" w:rsidRPr="00414F57">
        <w:t>Beyond the 1.</w:t>
      </w:r>
      <w:r w:rsidR="002C6A94" w:rsidRPr="00414F57">
        <w:t>5 </w:t>
      </w:r>
      <w:r w:rsidR="00863342" w:rsidRPr="00414F57">
        <w:t>GHz band</w:t>
      </w:r>
      <w:r w:rsidR="002C6A94" w:rsidRPr="00414F57">
        <w:t>,</w:t>
      </w:r>
      <w:r w:rsidR="00863342" w:rsidRPr="00414F57">
        <w:t xml:space="preserve"> which is</w:t>
      </w:r>
      <w:r w:rsidR="00863342" w:rsidRPr="00414F57" w:rsidDel="00B042D3">
        <w:t xml:space="preserve"> </w:t>
      </w:r>
      <w:r w:rsidR="00B042D3">
        <w:t xml:space="preserve">earmarked for a </w:t>
      </w:r>
      <w:r w:rsidR="00863342" w:rsidRPr="00414F57">
        <w:t>detailed planning review, there are several other potential areas of investigation in the mid</w:t>
      </w:r>
      <w:r w:rsidR="002C6A94" w:rsidRPr="00414F57">
        <w:t>-</w:t>
      </w:r>
      <w:r w:rsidR="00863342" w:rsidRPr="00414F57">
        <w:t>bands. These include the current considerations of dynamic spectrum access concepts in the 3.3</w:t>
      </w:r>
      <w:r w:rsidR="00231649" w:rsidRPr="00414F57">
        <w:t>, 4.5</w:t>
      </w:r>
      <w:r w:rsidR="00863342" w:rsidRPr="00414F57">
        <w:t xml:space="preserve"> and 4.8 GHz bands. </w:t>
      </w:r>
    </w:p>
    <w:p w14:paraId="3EB1423E" w14:textId="77777777" w:rsidR="00205F9D" w:rsidRPr="00414F57" w:rsidRDefault="00231649" w:rsidP="00863342">
      <w:r w:rsidRPr="00414F57">
        <w:t xml:space="preserve">Spectrum </w:t>
      </w:r>
      <w:r w:rsidR="00F850E7" w:rsidRPr="00414F57">
        <w:t xml:space="preserve">in the 3.8 GHz band from </w:t>
      </w:r>
      <w:r w:rsidRPr="00414F57">
        <w:t xml:space="preserve">3.7 GHz </w:t>
      </w:r>
      <w:r w:rsidR="00F850E7" w:rsidRPr="00414F57">
        <w:t xml:space="preserve">to 4.2 GHz </w:t>
      </w:r>
      <w:r w:rsidRPr="00414F57">
        <w:t>has been the subject of considerable interest worldwide</w:t>
      </w:r>
      <w:r w:rsidR="00DA7873" w:rsidRPr="00414F57">
        <w:t>,</w:t>
      </w:r>
      <w:r w:rsidRPr="00414F57">
        <w:t xml:space="preserve"> with a </w:t>
      </w:r>
      <w:r w:rsidR="00F850E7" w:rsidRPr="00414F57">
        <w:t>number</w:t>
      </w:r>
      <w:r w:rsidRPr="00414F57">
        <w:t xml:space="preserve"> of processes </w:t>
      </w:r>
      <w:r w:rsidR="00F850E7" w:rsidRPr="00414F57">
        <w:t>underway considering arrangements in some or all of the band. For example, spectrum between 3700 and 3800 MHz is part of the broader 3400</w:t>
      </w:r>
      <w:r w:rsidR="00DA7873" w:rsidRPr="00414F57">
        <w:t>–</w:t>
      </w:r>
      <w:r w:rsidR="00F850E7" w:rsidRPr="00414F57">
        <w:t xml:space="preserve">3800 MHz band being considered as an early 5G band in Europe. </w:t>
      </w:r>
    </w:p>
    <w:p w14:paraId="314716CC" w14:textId="5DF11463" w:rsidR="00205F9D" w:rsidRPr="00414F57" w:rsidRDefault="00F850E7" w:rsidP="00863342">
      <w:r w:rsidRPr="00414F57">
        <w:lastRenderedPageBreak/>
        <w:t>Ofcom has further investigated 3800</w:t>
      </w:r>
      <w:r w:rsidR="00DA7873" w:rsidRPr="00414F57">
        <w:t>–</w:t>
      </w:r>
      <w:r w:rsidRPr="00414F57">
        <w:t xml:space="preserve">4200 MHz as a candidate for more intense spectrum sharing between uses. In the US, the </w:t>
      </w:r>
      <w:r w:rsidR="0080400A" w:rsidRPr="00991CD9">
        <w:t xml:space="preserve">Federal Communications Commission </w:t>
      </w:r>
      <w:r w:rsidR="0080400A">
        <w:t>(</w:t>
      </w:r>
      <w:r w:rsidRPr="00414F57">
        <w:t>FCC</w:t>
      </w:r>
      <w:r w:rsidR="0080400A">
        <w:t>)</w:t>
      </w:r>
      <w:r w:rsidRPr="00414F57">
        <w:t xml:space="preserve"> has commenced a </w:t>
      </w:r>
      <w:r w:rsidR="006E6FB1" w:rsidRPr="00414F57">
        <w:t>Notice</w:t>
      </w:r>
      <w:r w:rsidRPr="00414F57">
        <w:t xml:space="preserve"> of Inquiry into</w:t>
      </w:r>
      <w:r w:rsidR="006E6FB1" w:rsidRPr="00414F57">
        <w:t xml:space="preserve"> </w:t>
      </w:r>
      <w:r w:rsidRPr="00414F57">
        <w:t xml:space="preserve">the </w:t>
      </w:r>
      <w:r w:rsidR="006E6FB1" w:rsidRPr="00414F57">
        <w:t>‘</w:t>
      </w:r>
      <w:r w:rsidRPr="00414F57">
        <w:t>flexible use in the mid-band’</w:t>
      </w:r>
      <w:r w:rsidR="00DA7873" w:rsidRPr="00414F57">
        <w:t>,</w:t>
      </w:r>
      <w:r w:rsidRPr="00414F57">
        <w:t xml:space="preserve"> which includes the 3.7</w:t>
      </w:r>
      <w:r w:rsidR="00DA7873" w:rsidRPr="00414F57">
        <w:t>–</w:t>
      </w:r>
      <w:r w:rsidRPr="00414F57">
        <w:t xml:space="preserve">4.2 GHz range. </w:t>
      </w:r>
      <w:r w:rsidR="00BE4FB5" w:rsidRPr="00414F57">
        <w:t>A</w:t>
      </w:r>
      <w:r w:rsidRPr="00414F57">
        <w:t xml:space="preserve"> common feature of all</w:t>
      </w:r>
      <w:r w:rsidR="006E6FB1" w:rsidRPr="00414F57">
        <w:t xml:space="preserve"> </w:t>
      </w:r>
      <w:r w:rsidRPr="00414F57">
        <w:t xml:space="preserve">of these </w:t>
      </w:r>
      <w:r w:rsidR="006E6FB1" w:rsidRPr="00414F57">
        <w:t>investigations</w:t>
      </w:r>
      <w:r w:rsidRPr="00414F57">
        <w:t xml:space="preserve"> is </w:t>
      </w:r>
      <w:r w:rsidR="006E6FB1" w:rsidRPr="00414F57">
        <w:t xml:space="preserve">considering the possibility of more spectrum for wireless broadband in the context of existing spectrum users, particularly the fixed satellite service. </w:t>
      </w:r>
    </w:p>
    <w:p w14:paraId="0F425486" w14:textId="681D020B" w:rsidR="00863342" w:rsidRPr="00414F57" w:rsidRDefault="006E6FB1" w:rsidP="00863342">
      <w:r w:rsidRPr="00FD13E4">
        <w:t xml:space="preserve">The </w:t>
      </w:r>
      <w:r w:rsidR="00F850E7" w:rsidRPr="00FD13E4">
        <w:t xml:space="preserve">ACMA </w:t>
      </w:r>
      <w:r w:rsidRPr="00FD13E4">
        <w:t>is playing close attention to the g</w:t>
      </w:r>
      <w:r w:rsidR="00F850E7" w:rsidRPr="00FD13E4">
        <w:t xml:space="preserve">lobal </w:t>
      </w:r>
      <w:r w:rsidRPr="00FD13E4">
        <w:t xml:space="preserve">environment in this band </w:t>
      </w:r>
      <w:r w:rsidR="00F850E7" w:rsidRPr="00FD13E4">
        <w:t xml:space="preserve">and </w:t>
      </w:r>
      <w:r w:rsidR="00FD13E4">
        <w:t xml:space="preserve">is commencing a </w:t>
      </w:r>
      <w:r w:rsidR="001A47A1">
        <w:t>broad review of arrangements in the 3700</w:t>
      </w:r>
      <w:r w:rsidR="00365525">
        <w:t>–</w:t>
      </w:r>
      <w:r w:rsidR="001A47A1">
        <w:t>4200 MHz band</w:t>
      </w:r>
      <w:r w:rsidR="00365525">
        <w:t>,</w:t>
      </w:r>
      <w:r w:rsidR="001A47A1">
        <w:t xml:space="preserve"> which is discussed elsewhere in this paper</w:t>
      </w:r>
      <w:r w:rsidR="00F850E7" w:rsidRPr="00FD13E4">
        <w:t>.</w:t>
      </w:r>
      <w:r w:rsidR="00B75775">
        <w:t xml:space="preserve"> </w:t>
      </w:r>
    </w:p>
    <w:p w14:paraId="7EB145EF" w14:textId="4006DBD5" w:rsidR="001D3119" w:rsidRPr="00414F57" w:rsidRDefault="00863342" w:rsidP="00863342">
      <w:r w:rsidRPr="00414F57">
        <w:t>The millimetre waves in the bands above 24 GHz are where the high</w:t>
      </w:r>
      <w:r w:rsidR="002C6A94" w:rsidRPr="00414F57">
        <w:t>-</w:t>
      </w:r>
      <w:r w:rsidRPr="00414F57">
        <w:t>band efforts are centred.</w:t>
      </w:r>
      <w:r w:rsidR="001D3119" w:rsidRPr="00414F57">
        <w:t xml:space="preserve"> The near</w:t>
      </w:r>
      <w:r w:rsidR="002C6A94" w:rsidRPr="00414F57">
        <w:t>-</w:t>
      </w:r>
      <w:r w:rsidR="001D3119" w:rsidRPr="00414F57">
        <w:t>term priority is investigating the potential for wireless broadband in some or all of the 26 GH</w:t>
      </w:r>
      <w:r w:rsidR="000222DF" w:rsidRPr="00414F57">
        <w:t>z</w:t>
      </w:r>
      <w:r w:rsidR="001D3119" w:rsidRPr="00414F57">
        <w:t xml:space="preserve"> band where much global attention is focused and where there appears to be good opportunities in Australia. </w:t>
      </w:r>
      <w:r w:rsidR="00231649" w:rsidRPr="00414F57">
        <w:t>The ACMA has also previously committed to investigate the possibility of establishing apparatus</w:t>
      </w:r>
      <w:r w:rsidR="00DA7873" w:rsidRPr="00414F57">
        <w:t>-</w:t>
      </w:r>
      <w:r w:rsidR="00231649" w:rsidRPr="00414F57">
        <w:t>licensed arrangements for point-</w:t>
      </w:r>
      <w:r w:rsidR="00DA7873" w:rsidRPr="00414F57">
        <w:t>to-</w:t>
      </w:r>
      <w:r w:rsidR="00231649" w:rsidRPr="00414F57">
        <w:t>multipoint use in some of the 28 GHz band</w:t>
      </w:r>
      <w:r w:rsidR="004B5603">
        <w:t xml:space="preserve">. </w:t>
      </w:r>
      <w:r w:rsidR="00BC738B" w:rsidRPr="001415ED">
        <w:rPr>
          <w:rFonts w:cs="Arial"/>
          <w:szCs w:val="20"/>
        </w:rPr>
        <w:t xml:space="preserve">Consultation on this issue is </w:t>
      </w:r>
      <w:r w:rsidR="004B5603">
        <w:rPr>
          <w:rFonts w:cs="Arial"/>
          <w:szCs w:val="20"/>
        </w:rPr>
        <w:t xml:space="preserve">now </w:t>
      </w:r>
      <w:r w:rsidR="00BC738B" w:rsidRPr="001415ED">
        <w:rPr>
          <w:rFonts w:cs="Arial"/>
          <w:szCs w:val="20"/>
        </w:rPr>
        <w:t xml:space="preserve">expected </w:t>
      </w:r>
      <w:r w:rsidR="004B5603">
        <w:rPr>
          <w:rFonts w:cs="Arial"/>
          <w:szCs w:val="20"/>
        </w:rPr>
        <w:t xml:space="preserve">include wider ranging considerations that do not restrict discussion to licence type or the type of use for the band. </w:t>
      </w:r>
      <w:r w:rsidR="004B5603" w:rsidRPr="001415ED">
        <w:rPr>
          <w:rFonts w:cs="Arial"/>
          <w:szCs w:val="20"/>
        </w:rPr>
        <w:t xml:space="preserve">Consultation </w:t>
      </w:r>
      <w:r w:rsidR="004B5603">
        <w:rPr>
          <w:rFonts w:cs="Arial"/>
          <w:szCs w:val="20"/>
        </w:rPr>
        <w:t xml:space="preserve">is expected </w:t>
      </w:r>
      <w:r w:rsidR="00BC738B" w:rsidRPr="001415ED">
        <w:rPr>
          <w:rFonts w:cs="Arial"/>
          <w:szCs w:val="20"/>
        </w:rPr>
        <w:t xml:space="preserve">to commence in </w:t>
      </w:r>
      <w:r w:rsidR="00774BB2">
        <w:rPr>
          <w:rFonts w:cs="Arial"/>
          <w:szCs w:val="20"/>
        </w:rPr>
        <w:t>Q1 of the 2018</w:t>
      </w:r>
      <w:r w:rsidR="0002172A">
        <w:rPr>
          <w:rFonts w:cs="Arial"/>
          <w:szCs w:val="20"/>
        </w:rPr>
        <w:t>–</w:t>
      </w:r>
      <w:r w:rsidR="00774BB2">
        <w:rPr>
          <w:rFonts w:cs="Arial"/>
          <w:szCs w:val="20"/>
        </w:rPr>
        <w:t>19 year</w:t>
      </w:r>
      <w:r w:rsidR="00BC738B">
        <w:rPr>
          <w:rFonts w:cs="Arial"/>
          <w:szCs w:val="20"/>
        </w:rPr>
        <w:t xml:space="preserve">. </w:t>
      </w:r>
      <w:r w:rsidR="00231649" w:rsidRPr="00414F57">
        <w:t>This work is part of a suite of measures the ACMA has identified to assist incumbents displaced from the 3.6 GHz band due to its reallocation. H</w:t>
      </w:r>
      <w:r w:rsidR="001D3119" w:rsidRPr="00414F57">
        <w:t xml:space="preserve">igher in the </w:t>
      </w:r>
      <w:r w:rsidR="00511801">
        <w:t>spectrum</w:t>
      </w:r>
      <w:r w:rsidR="001D3119" w:rsidRPr="00414F57">
        <w:t>, the ACMA has flagged the possibility of changes to class</w:t>
      </w:r>
      <w:r w:rsidR="00DA7873" w:rsidRPr="00414F57">
        <w:t>-</w:t>
      </w:r>
      <w:r w:rsidR="001D3119" w:rsidRPr="00414F57">
        <w:t>licensing arrangements to support additional spectrum in the 60 GHz range</w:t>
      </w:r>
      <w:r w:rsidR="00DA7873" w:rsidRPr="00414F57">
        <w:t>, which is</w:t>
      </w:r>
      <w:r w:rsidR="001D3119" w:rsidRPr="00414F57">
        <w:t xml:space="preserve"> also being looked at for 5G use around the world.</w:t>
      </w:r>
    </w:p>
    <w:p w14:paraId="71D4D6EF" w14:textId="77777777" w:rsidR="00B514B8" w:rsidRDefault="00B514B8" w:rsidP="00B514B8">
      <w:pPr>
        <w:rPr>
          <w:rFonts w:cs="Arial"/>
        </w:rPr>
      </w:pPr>
      <w:r>
        <w:rPr>
          <w:rFonts w:cs="Arial"/>
        </w:rPr>
        <w:t xml:space="preserve">Along with the ACMA’s efforts to make spectrum available, there are continuing opportunities </w:t>
      </w:r>
      <w:r w:rsidR="002C6A94">
        <w:rPr>
          <w:rFonts w:cs="Arial"/>
        </w:rPr>
        <w:t>for</w:t>
      </w:r>
      <w:r>
        <w:rPr>
          <w:rFonts w:cs="Arial"/>
        </w:rPr>
        <w:t xml:space="preserve"> spectrum users to enter into commercial arrangements </w:t>
      </w:r>
      <w:r w:rsidR="002C6A94">
        <w:rPr>
          <w:rFonts w:cs="Arial"/>
        </w:rPr>
        <w:t xml:space="preserve">to share </w:t>
      </w:r>
      <w:r>
        <w:rPr>
          <w:rFonts w:cs="Arial"/>
        </w:rPr>
        <w:t>infrastructure or spectrum that will realise more efficient spectrum use</w:t>
      </w:r>
      <w:r w:rsidR="002C6A94">
        <w:rPr>
          <w:rFonts w:cs="Arial"/>
        </w:rPr>
        <w:t>.</w:t>
      </w:r>
      <w:r>
        <w:rPr>
          <w:rFonts w:cs="Arial"/>
        </w:rPr>
        <w:t xml:space="preserve"> Achieving more efficient configuration and use of bands that are already licensed for wireless broadband is a vital adjunct to the clearance and reallocation of new bands to address rising demand for wireless broadband. In part</w:t>
      </w:r>
      <w:r w:rsidR="002C6A94">
        <w:rPr>
          <w:rFonts w:cs="Arial"/>
        </w:rPr>
        <w:t>,</w:t>
      </w:r>
      <w:r>
        <w:rPr>
          <w:rFonts w:cs="Arial"/>
        </w:rPr>
        <w:t xml:space="preserve"> this obligation must fall on existing licensees, as well as the regulator, to ensure that the market works to achieve defragmentation and reconfiguration of existing holdings to maximise the overall utility of bands. </w:t>
      </w:r>
    </w:p>
    <w:p w14:paraId="0D468B6F" w14:textId="77777777" w:rsidR="00835321" w:rsidRDefault="008D5491">
      <w:pPr>
        <w:rPr>
          <w:szCs w:val="20"/>
        </w:rPr>
      </w:pPr>
      <w:r>
        <w:rPr>
          <w:rFonts w:cs="Arial"/>
        </w:rPr>
        <w:t>Planning and licensing activities planned for 2018</w:t>
      </w:r>
      <w:r w:rsidR="002C6A94">
        <w:rPr>
          <w:rFonts w:cs="Arial"/>
        </w:rPr>
        <w:t>–</w:t>
      </w:r>
      <w:r>
        <w:rPr>
          <w:rFonts w:cs="Arial"/>
        </w:rPr>
        <w:t>19 and beyond</w:t>
      </w:r>
      <w:r w:rsidR="002C6A94">
        <w:rPr>
          <w:rFonts w:cs="Arial"/>
        </w:rPr>
        <w:t>, which</w:t>
      </w:r>
      <w:r>
        <w:rPr>
          <w:rFonts w:cs="Arial"/>
        </w:rPr>
        <w:t xml:space="preserve"> support wireless broadband services, including 5G, </w:t>
      </w:r>
      <w:r w:rsidR="009337DA">
        <w:rPr>
          <w:rFonts w:cs="Arial"/>
        </w:rPr>
        <w:t>are</w:t>
      </w:r>
      <w:r>
        <w:rPr>
          <w:rFonts w:cs="Arial"/>
        </w:rPr>
        <w:t xml:space="preserve"> discussed in further detail in Part 2.</w:t>
      </w:r>
    </w:p>
    <w:p w14:paraId="665FD77F" w14:textId="77777777" w:rsidR="00835321" w:rsidRPr="00C367FC" w:rsidRDefault="00B84965" w:rsidP="0056784A">
      <w:pPr>
        <w:pStyle w:val="Heading3"/>
      </w:pPr>
      <w:bookmarkStart w:id="137" w:name="_Toc510795070"/>
      <w:bookmarkStart w:id="138" w:name="_Toc511716271"/>
      <w:bookmarkStart w:id="139" w:name="_Toc511719082"/>
      <w:bookmarkStart w:id="140" w:name="_Toc522794078"/>
      <w:bookmarkStart w:id="141" w:name="_Toc524517084"/>
      <w:bookmarkStart w:id="142" w:name="_Toc494115152"/>
      <w:bookmarkStart w:id="143" w:name="_Toc510104933"/>
      <w:bookmarkStart w:id="144" w:name="_Toc510105730"/>
      <w:bookmarkStart w:id="145" w:name="_Toc509581802"/>
      <w:bookmarkStart w:id="146" w:name="_Toc509585118"/>
      <w:bookmarkStart w:id="147" w:name="_Toc509585654"/>
      <w:r w:rsidRPr="00CD459E">
        <w:t>Machine</w:t>
      </w:r>
      <w:r w:rsidR="00CD459E">
        <w:t>-</w:t>
      </w:r>
      <w:r w:rsidRPr="00CD459E">
        <w:t>to</w:t>
      </w:r>
      <w:r w:rsidR="00CD459E">
        <w:t>-</w:t>
      </w:r>
      <w:r w:rsidR="00DA7873">
        <w:t>m</w:t>
      </w:r>
      <w:r w:rsidRPr="00CD459E">
        <w:t xml:space="preserve">achine </w:t>
      </w:r>
      <w:r w:rsidR="002C6A94" w:rsidRPr="00CD459E">
        <w:t>c</w:t>
      </w:r>
      <w:r w:rsidRPr="00CD459E">
        <w:t xml:space="preserve">ommunications and the </w:t>
      </w:r>
      <w:r w:rsidR="00B47C14" w:rsidRPr="00CD459E">
        <w:t>I</w:t>
      </w:r>
      <w:r w:rsidR="00835321" w:rsidRPr="00CD459E">
        <w:t>oT</w:t>
      </w:r>
      <w:bookmarkEnd w:id="137"/>
      <w:bookmarkEnd w:id="138"/>
      <w:bookmarkEnd w:id="139"/>
      <w:bookmarkEnd w:id="140"/>
      <w:bookmarkEnd w:id="141"/>
      <w:r w:rsidR="00835321" w:rsidRPr="00C367FC">
        <w:t xml:space="preserve"> </w:t>
      </w:r>
      <w:bookmarkEnd w:id="142"/>
      <w:bookmarkEnd w:id="143"/>
      <w:bookmarkEnd w:id="144"/>
      <w:bookmarkEnd w:id="145"/>
      <w:bookmarkEnd w:id="146"/>
      <w:bookmarkEnd w:id="147"/>
    </w:p>
    <w:p w14:paraId="05DB097E" w14:textId="77777777" w:rsidR="00835321" w:rsidRDefault="00835321" w:rsidP="0027128C">
      <w:r w:rsidRPr="00C367FC">
        <w:t>The IoT potentially</w:t>
      </w:r>
      <w:r>
        <w:t xml:space="preserve"> involves unprecedented numbers of wireless and wired interconnections of personal, consumer and industrial devices supporting a range of applications. It is not limited to any specific technology platform and is likely to use frequency allocations across the entire spectrum. For example, 4G and 5G standards have made</w:t>
      </w:r>
      <w:r w:rsidR="00C367FC">
        <w:t>—</w:t>
      </w:r>
      <w:r>
        <w:t>or will make</w:t>
      </w:r>
      <w:r w:rsidR="00C367FC">
        <w:t>—</w:t>
      </w:r>
      <w:r>
        <w:t>specific provisions for dedicated IoT service delivery, and satellite services are already investing in services and hardware to enable IoT.</w:t>
      </w:r>
    </w:p>
    <w:p w14:paraId="3F07DEE5" w14:textId="77777777" w:rsidR="00512009" w:rsidRDefault="00835321">
      <w:r>
        <w:t>Devices providing industrial metering, switching and/or control (including smart infrastructure) are a subset of IoT communications technologies. They require very low</w:t>
      </w:r>
      <w:r w:rsidR="002C6A94">
        <w:t xml:space="preserve"> </w:t>
      </w:r>
      <w:r>
        <w:t>data rates and/or very low duty cycles</w:t>
      </w:r>
      <w:r w:rsidRPr="00AE56E1">
        <w:t xml:space="preserve"> </w:t>
      </w:r>
      <w:r>
        <w:t>and operate in low power wide area (LPWA) networks.</w:t>
      </w:r>
      <w:r w:rsidRPr="00D8087A">
        <w:t xml:space="preserve"> </w:t>
      </w:r>
      <w:r>
        <w:t>An international market has emerged for LPWA networks and devices that operate in the 900 MHz band.</w:t>
      </w:r>
      <w:r w:rsidR="00D16385">
        <w:t xml:space="preserve"> Separately, mobile </w:t>
      </w:r>
      <w:r w:rsidR="0047527A">
        <w:t>network operators</w:t>
      </w:r>
      <w:r w:rsidR="00D16385">
        <w:t xml:space="preserve"> have been deploying IoT-specific variants of the 4G standard</w:t>
      </w:r>
      <w:r w:rsidR="002C6A94">
        <w:t>,</w:t>
      </w:r>
      <w:r w:rsidR="00D16385">
        <w:t xml:space="preserve"> such as Narrowband IoT (NB-IoT) and Cat-M1</w:t>
      </w:r>
      <w:r w:rsidR="00381F16">
        <w:t>.</w:t>
      </w:r>
      <w:bookmarkStart w:id="148" w:name="_Toc494115153"/>
      <w:bookmarkStart w:id="149" w:name="_Toc509581803"/>
      <w:bookmarkStart w:id="150" w:name="_Toc509585119"/>
      <w:bookmarkStart w:id="151" w:name="_Toc509585655"/>
      <w:r w:rsidR="00BE7AFE">
        <w:t xml:space="preserve"> </w:t>
      </w:r>
    </w:p>
    <w:p w14:paraId="2BFED2E8" w14:textId="77777777" w:rsidR="008D5491" w:rsidRDefault="008D5491">
      <w:bookmarkStart w:id="152" w:name="_Toc510104934"/>
      <w:bookmarkStart w:id="153" w:name="_Toc510105731"/>
      <w:r>
        <w:t xml:space="preserve">Planning activity to support IoT applications is outlined further in Part 2. </w:t>
      </w:r>
    </w:p>
    <w:p w14:paraId="69EDCE58" w14:textId="77777777" w:rsidR="00835321" w:rsidRDefault="00835321" w:rsidP="0056784A">
      <w:pPr>
        <w:pStyle w:val="Heading3"/>
      </w:pPr>
      <w:bookmarkStart w:id="154" w:name="_Toc510795071"/>
      <w:bookmarkStart w:id="155" w:name="_Toc511716272"/>
      <w:bookmarkStart w:id="156" w:name="_Toc511719083"/>
      <w:bookmarkStart w:id="157" w:name="_Toc522794079"/>
      <w:bookmarkStart w:id="158" w:name="_Toc524517085"/>
      <w:r>
        <w:lastRenderedPageBreak/>
        <w:t>Broadcasting</w:t>
      </w:r>
      <w:bookmarkEnd w:id="154"/>
      <w:bookmarkEnd w:id="155"/>
      <w:bookmarkEnd w:id="156"/>
      <w:bookmarkEnd w:id="157"/>
      <w:bookmarkEnd w:id="158"/>
      <w:r>
        <w:t xml:space="preserve"> </w:t>
      </w:r>
      <w:bookmarkEnd w:id="148"/>
      <w:bookmarkEnd w:id="149"/>
      <w:bookmarkEnd w:id="150"/>
      <w:bookmarkEnd w:id="151"/>
      <w:bookmarkEnd w:id="152"/>
      <w:bookmarkEnd w:id="153"/>
    </w:p>
    <w:p w14:paraId="6311EB6B" w14:textId="77777777" w:rsidR="00835321" w:rsidRDefault="00F268C4" w:rsidP="0027128C">
      <w:pPr>
        <w:spacing w:after="80"/>
      </w:pPr>
      <w:r>
        <w:t xml:space="preserve">The Spectrum Review recommended that broadcasting spectrum be better integrated into the general spectrum management framework, while maintaining the broadcaster’s access to spectrum to deliver their services. </w:t>
      </w:r>
      <w:r w:rsidR="0047527A">
        <w:t>T</w:t>
      </w:r>
      <w:r w:rsidR="00835321">
        <w:t>here are some</w:t>
      </w:r>
      <w:r w:rsidR="00835321" w:rsidRPr="00B725D2">
        <w:t xml:space="preserve"> distinctive fe</w:t>
      </w:r>
      <w:r w:rsidR="00835321">
        <w:t>atures of broadcasting planning that affect how demand is managed</w:t>
      </w:r>
      <w:r w:rsidR="00664617">
        <w:t>. I</w:t>
      </w:r>
      <w:r w:rsidR="00835321">
        <w:t>n particular:</w:t>
      </w:r>
    </w:p>
    <w:p w14:paraId="418165D3" w14:textId="77777777" w:rsidR="00835321" w:rsidRDefault="00835321" w:rsidP="005759E7">
      <w:pPr>
        <w:pStyle w:val="ListBullet"/>
      </w:pPr>
      <w:r>
        <w:t>f</w:t>
      </w:r>
      <w:r w:rsidRPr="00DE4AE6">
        <w:t xml:space="preserve">uture requirements for broadcasting spectrum are likely to depend on government decisions about the </w:t>
      </w:r>
      <w:r>
        <w:t>development of the sector</w:t>
      </w:r>
    </w:p>
    <w:p w14:paraId="1C2C3675" w14:textId="77777777" w:rsidR="00835321" w:rsidRPr="00DE4AE6" w:rsidRDefault="00835321" w:rsidP="005759E7">
      <w:pPr>
        <w:pStyle w:val="ListBulletLast"/>
      </w:pPr>
      <w:r>
        <w:t xml:space="preserve">the </w:t>
      </w:r>
      <w:r w:rsidR="007F63F9">
        <w:t>m</w:t>
      </w:r>
      <w:r w:rsidRPr="00DE4AE6">
        <w:t xml:space="preserve">inister is responsible for decisions to vary the </w:t>
      </w:r>
      <w:r w:rsidR="0047527A" w:rsidRPr="0047527A">
        <w:t>Broadcasting Services Bands (</w:t>
      </w:r>
      <w:r w:rsidRPr="00DE4AE6">
        <w:t>BSB</w:t>
      </w:r>
      <w:r w:rsidR="0047527A" w:rsidRPr="0047527A">
        <w:t>)</w:t>
      </w:r>
      <w:r w:rsidRPr="0047527A">
        <w:t>.</w:t>
      </w:r>
      <w:r w:rsidRPr="00DE4AE6">
        <w:t xml:space="preserve"> </w:t>
      </w:r>
    </w:p>
    <w:p w14:paraId="6731E212" w14:textId="77777777" w:rsidR="00835321" w:rsidRDefault="00835321" w:rsidP="0027128C">
      <w:r>
        <w:t>In relation to television, t</w:t>
      </w:r>
      <w:r w:rsidRPr="00B725D2">
        <w:t>here has been minimal demand for spectrum for additional television transmitters since the completion of the switchover to digital television, with the only demand being for retransmissions from remote communities, mining companies and caravan parks.</w:t>
      </w:r>
    </w:p>
    <w:p w14:paraId="7FBAB5E2" w14:textId="77777777" w:rsidR="00DA4290" w:rsidRDefault="0053771D">
      <w:r>
        <w:t>T</w:t>
      </w:r>
      <w:r w:rsidR="00DA4290">
        <w:t xml:space="preserve">he future spectrum planning requirements for television broadcasting </w:t>
      </w:r>
      <w:r w:rsidR="00011B67">
        <w:t>remain unclear as technology advances</w:t>
      </w:r>
      <w:r w:rsidR="00DA4290">
        <w:t>. The main issue facing the television industry is the expected future obsolescence of the DVB-T</w:t>
      </w:r>
      <w:r w:rsidR="00DA4290">
        <w:rPr>
          <w:rStyle w:val="FootnoteReference"/>
        </w:rPr>
        <w:footnoteReference w:id="8"/>
      </w:r>
      <w:r w:rsidR="00DA4290">
        <w:t xml:space="preserve"> transmission standard and the MPEG-2 video compression standard. While upgrading the original MPEG-2 compression standard to MPEG-4 is proceeding using existing broadcaster multiplexes, use of more modern standards, such as DVB-T2 transmission along with HEVC video compression</w:t>
      </w:r>
      <w:r w:rsidR="00FA0B97">
        <w:t>,</w:t>
      </w:r>
      <w:r w:rsidR="00DA4290">
        <w:t xml:space="preserve"> </w:t>
      </w:r>
      <w:r w:rsidR="00FA0B97">
        <w:t xml:space="preserve">or the </w:t>
      </w:r>
      <w:r w:rsidR="00D97A62">
        <w:t xml:space="preserve">rival </w:t>
      </w:r>
      <w:r w:rsidR="00FA0B97">
        <w:t xml:space="preserve">ATSC standard, </w:t>
      </w:r>
      <w:r w:rsidR="00DA4290">
        <w:t>will require separate, dedicated multiplexes.</w:t>
      </w:r>
      <w:r w:rsidR="00A2003F">
        <w:t xml:space="preserve"> The introduction of DVB-T2 services using HEVC video compression could provide </w:t>
      </w:r>
      <w:r w:rsidR="00F21F53" w:rsidRPr="00493B5D">
        <w:t xml:space="preserve">a </w:t>
      </w:r>
      <w:r w:rsidR="00D91A77">
        <w:t>combination of higher quality services (</w:t>
      </w:r>
      <w:r w:rsidR="001F7577">
        <w:t xml:space="preserve">for example, </w:t>
      </w:r>
      <w:r w:rsidR="00D91A77">
        <w:t xml:space="preserve">more high definition channels or ultra high definition channels) and/or greater </w:t>
      </w:r>
      <w:r w:rsidR="00A2003F">
        <w:t>number</w:t>
      </w:r>
      <w:r w:rsidR="00D91A77">
        <w:t>s</w:t>
      </w:r>
      <w:r w:rsidR="00A2003F">
        <w:t xml:space="preserve"> of services</w:t>
      </w:r>
      <w:r w:rsidR="00F7439E">
        <w:t>.</w:t>
      </w:r>
      <w:r w:rsidR="00A2003F">
        <w:rPr>
          <w:rStyle w:val="FootnoteReference"/>
        </w:rPr>
        <w:footnoteReference w:id="9"/>
      </w:r>
    </w:p>
    <w:p w14:paraId="38E0AE24" w14:textId="77777777" w:rsidR="00DA4290" w:rsidRDefault="00DA4290">
      <w:r>
        <w:t xml:space="preserve">Generally, television planning caters for ABC, SBS, three commercial services and one unallotted channel at most sites. The unallotted channel (‘the sixth channel’) is available in most areas for trials of more advanced standards. </w:t>
      </w:r>
      <w:r w:rsidR="00913F55">
        <w:t xml:space="preserve">In </w:t>
      </w:r>
      <w:r w:rsidR="0047527A">
        <w:t>2018</w:t>
      </w:r>
      <w:r w:rsidR="00DA7873">
        <w:t>,</w:t>
      </w:r>
      <w:r w:rsidR="0047527A">
        <w:t xml:space="preserve"> </w:t>
      </w:r>
      <w:r w:rsidR="00913F55">
        <w:t xml:space="preserve">the ACMA issued scientific licences to facilitate the first industry </w:t>
      </w:r>
      <w:r w:rsidR="003A0DB8">
        <w:t>field trial</w:t>
      </w:r>
      <w:r w:rsidR="00913F55">
        <w:t xml:space="preserve"> of </w:t>
      </w:r>
      <w:r w:rsidR="003A0DB8">
        <w:t xml:space="preserve">DVB-T2 and HEVC. </w:t>
      </w:r>
      <w:r w:rsidR="00913F55">
        <w:t xml:space="preserve">The </w:t>
      </w:r>
      <w:r w:rsidR="00D034B2">
        <w:t>three</w:t>
      </w:r>
      <w:r w:rsidR="00DA7873">
        <w:t>-</w:t>
      </w:r>
      <w:r w:rsidR="00D034B2">
        <w:t xml:space="preserve">month </w:t>
      </w:r>
      <w:r w:rsidR="00913F55">
        <w:t xml:space="preserve">trial </w:t>
      </w:r>
      <w:r w:rsidR="00D034B2">
        <w:t xml:space="preserve">commenced in </w:t>
      </w:r>
      <w:r w:rsidR="00913F55">
        <w:t xml:space="preserve">Sydney </w:t>
      </w:r>
      <w:r w:rsidR="003A0DB8">
        <w:t>in April 2018</w:t>
      </w:r>
      <w:r w:rsidR="00D034B2">
        <w:t>. The trial was conducted</w:t>
      </w:r>
      <w:r w:rsidR="003A0DB8">
        <w:t xml:space="preserve"> </w:t>
      </w:r>
      <w:r w:rsidR="00913F55">
        <w:t xml:space="preserve">by </w:t>
      </w:r>
      <w:r w:rsidR="00612905">
        <w:t xml:space="preserve">Free TV Australia </w:t>
      </w:r>
      <w:r w:rsidR="00913F55">
        <w:t xml:space="preserve">and Broadcast Australia, with participation from the ABC and SBS. </w:t>
      </w:r>
      <w:r w:rsidR="003A0DB8">
        <w:t>T</w:t>
      </w:r>
      <w:r w:rsidR="0047527A">
        <w:t>he longer</w:t>
      </w:r>
      <w:r w:rsidR="002C6A94">
        <w:t>-</w:t>
      </w:r>
      <w:r w:rsidR="0047527A">
        <w:t>term use of the unallotted channel, including its potential utility in any migration path to more advanced standards, remains unclear.</w:t>
      </w:r>
    </w:p>
    <w:p w14:paraId="1E856B7B" w14:textId="77777777" w:rsidR="00835321" w:rsidRDefault="00835321">
      <w:r w:rsidRPr="00B725D2">
        <w:t>Digital radio services make use of two</w:t>
      </w:r>
      <w:r w:rsidRPr="00B725D2" w:rsidDel="00EA2F63">
        <w:t xml:space="preserve"> </w:t>
      </w:r>
      <w:r>
        <w:t xml:space="preserve">former </w:t>
      </w:r>
      <w:r w:rsidR="00EA2F63" w:rsidRPr="00B725D2">
        <w:t xml:space="preserve">VHF </w:t>
      </w:r>
      <w:r w:rsidRPr="00B725D2">
        <w:t>television channels</w:t>
      </w:r>
      <w:r w:rsidR="002C6A94">
        <w:t>, which were</w:t>
      </w:r>
      <w:r w:rsidRPr="00B725D2">
        <w:t xml:space="preserve"> set aside for this purpose when digital television services were replanned to clear the </w:t>
      </w:r>
      <w:r w:rsidR="002C6A94" w:rsidRPr="00B725D2">
        <w:t>700</w:t>
      </w:r>
      <w:r w:rsidR="002C6A94">
        <w:t> </w:t>
      </w:r>
      <w:r w:rsidRPr="00B725D2">
        <w:t>MHz band. In 2016</w:t>
      </w:r>
      <w:r>
        <w:t>,</w:t>
      </w:r>
      <w:r w:rsidRPr="00B725D2">
        <w:t xml:space="preserve"> the ACMA undertook extensive studies on ways to facilitate the rollout of digital radio to regional licence areas. The key outcome of these studies was that </w:t>
      </w:r>
      <w:r>
        <w:t xml:space="preserve">the implementation of digital radio services in </w:t>
      </w:r>
      <w:r w:rsidRPr="00B725D2">
        <w:t xml:space="preserve">all </w:t>
      </w:r>
      <w:r w:rsidR="00FA0B97">
        <w:t xml:space="preserve">existing </w:t>
      </w:r>
      <w:r w:rsidRPr="00B725D2">
        <w:t>licence areas</w:t>
      </w:r>
      <w:r w:rsidR="00FA0B97">
        <w:t>, if desired,</w:t>
      </w:r>
      <w:r>
        <w:t xml:space="preserve"> would be constrained because</w:t>
      </w:r>
      <w:r w:rsidRPr="00B725D2">
        <w:t xml:space="preserve"> the potential demand would exceed the available su</w:t>
      </w:r>
      <w:r>
        <w:t xml:space="preserve">pply of spectrum under certain conditions. </w:t>
      </w:r>
      <w:r w:rsidR="00FA0B97">
        <w:t>In order to preserve the option of digital radio implementation in all existing licence areas</w:t>
      </w:r>
      <w:r w:rsidR="00C367FC" w:rsidRPr="00B725D2">
        <w:t>,</w:t>
      </w:r>
      <w:r w:rsidRPr="00B725D2">
        <w:t xml:space="preserve"> a number of compromises were identified as being required and these have been set out in the ACMA’s </w:t>
      </w:r>
      <w:r>
        <w:t>p</w:t>
      </w:r>
      <w:r w:rsidRPr="00B725D2">
        <w:t>lanning principles for the expansion of di</w:t>
      </w:r>
      <w:r>
        <w:t xml:space="preserve">gital radio to regional areas. </w:t>
      </w:r>
    </w:p>
    <w:p w14:paraId="7F78FD56" w14:textId="77777777" w:rsidR="00835321" w:rsidRPr="00B725D2" w:rsidRDefault="00835321">
      <w:r w:rsidRPr="00B725D2">
        <w:t xml:space="preserve">The key compromises were an initial limit on the maximum power level for any transmitter considered in the development of allotment plans and an uneven split of the available spectrum capacity between national and commercial/community broadcaster multiplexes, with the national broadcasters having access to </w:t>
      </w:r>
      <w:r w:rsidR="00F74066">
        <w:t xml:space="preserve">only </w:t>
      </w:r>
      <w:r w:rsidRPr="00B725D2">
        <w:t xml:space="preserve">two of </w:t>
      </w:r>
      <w:r w:rsidRPr="00B725D2">
        <w:lastRenderedPageBreak/>
        <w:t>the eig</w:t>
      </w:r>
      <w:r>
        <w:t xml:space="preserve">ht available frequency blocks. </w:t>
      </w:r>
      <w:r w:rsidRPr="00B725D2">
        <w:t>This is because national broadcasters are not constrained by licence areas and should be able to deploy single frequency networks over wider areas.</w:t>
      </w:r>
    </w:p>
    <w:p w14:paraId="5F9BBA29" w14:textId="77777777" w:rsidR="00835321" w:rsidRPr="00B725D2" w:rsidRDefault="00835321">
      <w:r w:rsidRPr="00B725D2">
        <w:t>Demand for AM radio spectrum is low due to the high transmission costs</w:t>
      </w:r>
      <w:r w:rsidR="002C6A94">
        <w:t>,</w:t>
      </w:r>
      <w:r w:rsidRPr="00B725D2">
        <w:t xml:space="preserve"> as well as the increasing levels of man-made noise and an international trend for receivers not</w:t>
      </w:r>
      <w:r>
        <w:t xml:space="preserve"> to</w:t>
      </w:r>
      <w:r w:rsidRPr="00B725D2">
        <w:t xml:space="preserve"> incorporate AM tuners. Consequently, the ACMA is in the process of facilitating the conversion to FM of some commercial AM radio services operating in single</w:t>
      </w:r>
      <w:r w:rsidR="0043231A">
        <w:t>-</w:t>
      </w:r>
      <w:r w:rsidRPr="00B725D2">
        <w:t>owner regional licence areas. Identifying suitable FM spectrum for these services is proving quite challenging in many areas and</w:t>
      </w:r>
      <w:r w:rsidR="00C367FC">
        <w:t>,</w:t>
      </w:r>
      <w:r w:rsidRPr="00B725D2">
        <w:t xml:space="preserve"> in some cases</w:t>
      </w:r>
      <w:r w:rsidR="00C367FC">
        <w:t>,</w:t>
      </w:r>
      <w:r w:rsidRPr="00B725D2">
        <w:t xml:space="preserve"> there may be competing claims over the same frequency. As a </w:t>
      </w:r>
      <w:r w:rsidR="00C367FC" w:rsidRPr="00B725D2">
        <w:t>result,</w:t>
      </w:r>
      <w:r w:rsidRPr="00B725D2">
        <w:t xml:space="preserve"> the pla</w:t>
      </w:r>
      <w:r>
        <w:t>nning for these conversions can be</w:t>
      </w:r>
      <w:r w:rsidRPr="00B725D2">
        <w:t xml:space="preserve"> complex and time consuming.</w:t>
      </w:r>
    </w:p>
    <w:p w14:paraId="7441A2B7" w14:textId="77777777" w:rsidR="001D3119" w:rsidRDefault="008D5491">
      <w:bookmarkStart w:id="159" w:name="_Toc494115154"/>
      <w:bookmarkStart w:id="160" w:name="_Toc510104935"/>
      <w:bookmarkStart w:id="161" w:name="_Toc510105732"/>
      <w:bookmarkStart w:id="162" w:name="_Toc509581804"/>
      <w:bookmarkStart w:id="163" w:name="_Toc509585120"/>
      <w:bookmarkStart w:id="164" w:name="_Toc509585656"/>
      <w:r>
        <w:t>Specific planning and licensing activities to support AM to FM conversions are discussed in more detail in Part 2.</w:t>
      </w:r>
    </w:p>
    <w:p w14:paraId="150C2EEF" w14:textId="77777777" w:rsidR="005A2067" w:rsidRDefault="00835321" w:rsidP="0056784A">
      <w:pPr>
        <w:pStyle w:val="Heading3"/>
      </w:pPr>
      <w:bookmarkStart w:id="165" w:name="_Toc511716273"/>
      <w:bookmarkStart w:id="166" w:name="_Toc511719084"/>
      <w:bookmarkStart w:id="167" w:name="_Toc522794080"/>
      <w:bookmarkStart w:id="168" w:name="_Toc524517086"/>
      <w:bookmarkStart w:id="169" w:name="_Toc510795072"/>
      <w:r w:rsidRPr="005E7238">
        <w:t>Satellite communications</w:t>
      </w:r>
      <w:bookmarkEnd w:id="159"/>
      <w:bookmarkEnd w:id="160"/>
      <w:bookmarkEnd w:id="161"/>
      <w:bookmarkEnd w:id="165"/>
      <w:bookmarkEnd w:id="166"/>
      <w:bookmarkEnd w:id="167"/>
      <w:bookmarkEnd w:id="168"/>
      <w:r w:rsidR="00F45C16">
        <w:t xml:space="preserve"> </w:t>
      </w:r>
      <w:bookmarkEnd w:id="162"/>
      <w:bookmarkEnd w:id="163"/>
      <w:bookmarkEnd w:id="164"/>
      <w:bookmarkEnd w:id="169"/>
    </w:p>
    <w:p w14:paraId="0F714265" w14:textId="77777777" w:rsidR="00835321" w:rsidRDefault="00D02662" w:rsidP="0027128C">
      <w:r>
        <w:t xml:space="preserve">There is continuing </w:t>
      </w:r>
      <w:r w:rsidR="00835321">
        <w:t xml:space="preserve">growth and innovation in the provision of </w:t>
      </w:r>
      <w:r w:rsidR="00835321" w:rsidRPr="00A07ECB">
        <w:t>satellite-delivered telecommunication services</w:t>
      </w:r>
      <w:r w:rsidR="00835321">
        <w:t xml:space="preserve"> and satellite usage in space science services</w:t>
      </w:r>
      <w:r>
        <w:t xml:space="preserve">. These changes are </w:t>
      </w:r>
      <w:r w:rsidR="00835321" w:rsidRPr="00A07ECB">
        <w:t>increasing pressure</w:t>
      </w:r>
      <w:r w:rsidR="00835321">
        <w:t xml:space="preserve"> both internationally and domestically</w:t>
      </w:r>
      <w:r w:rsidR="00835321" w:rsidRPr="00A07ECB">
        <w:t xml:space="preserve"> to</w:t>
      </w:r>
      <w:r w:rsidR="00835321">
        <w:t xml:space="preserve"> ensure that regulatory arrangements continually evolve to support this change.</w:t>
      </w:r>
    </w:p>
    <w:p w14:paraId="070CDFAE" w14:textId="77777777" w:rsidR="00D02662" w:rsidRDefault="00D02662" w:rsidP="001B1B7A">
      <w:pPr>
        <w:spacing w:after="80"/>
      </w:pPr>
      <w:r>
        <w:t xml:space="preserve">This is resulting in the need to both establish new spectrum access arrangements and refine existing ones. </w:t>
      </w:r>
      <w:r w:rsidR="00342961">
        <w:t>A range of changes and innovations</w:t>
      </w:r>
      <w:r w:rsidR="0058182C">
        <w:t xml:space="preserve"> are</w:t>
      </w:r>
      <w:r w:rsidR="00342961">
        <w:t>:</w:t>
      </w:r>
    </w:p>
    <w:p w14:paraId="13EDD887" w14:textId="77777777" w:rsidR="00D02662" w:rsidRDefault="00D02662" w:rsidP="005F3D42">
      <w:pPr>
        <w:pStyle w:val="ListBullet"/>
      </w:pPr>
      <w:r>
        <w:t>the development</w:t>
      </w:r>
      <w:r w:rsidR="00835321" w:rsidRPr="00A07ECB">
        <w:t xml:space="preserve"> of low-cost, miniaturised space </w:t>
      </w:r>
      <w:r w:rsidR="00835321">
        <w:t xml:space="preserve">hardware (often referred to as </w:t>
      </w:r>
      <w:r w:rsidR="00835321" w:rsidRPr="00A07ECB">
        <w:t>nanosats, cubesats</w:t>
      </w:r>
      <w:r w:rsidR="00835321">
        <w:t xml:space="preserve"> or smallsats</w:t>
      </w:r>
      <w:r w:rsidR="00835321" w:rsidRPr="00A07ECB">
        <w:t>)</w:t>
      </w:r>
    </w:p>
    <w:p w14:paraId="26985D01" w14:textId="77777777" w:rsidR="00D02662" w:rsidRDefault="00315B33" w:rsidP="005F3D42">
      <w:pPr>
        <w:pStyle w:val="ListBullet"/>
      </w:pPr>
      <w:r>
        <w:t>t</w:t>
      </w:r>
      <w:r w:rsidR="00D02662">
        <w:t>he growth in high throughput systems (HTS) that both increase the demand for spectrum arrangements to support ubiquitous earth sta</w:t>
      </w:r>
      <w:r w:rsidR="005356A3">
        <w:t>t</w:t>
      </w:r>
      <w:r w:rsidR="00D02662">
        <w:t>i</w:t>
      </w:r>
      <w:r w:rsidR="005356A3">
        <w:t>o</w:t>
      </w:r>
      <w:r w:rsidR="00D02662">
        <w:t xml:space="preserve">ns for user terminals and supporting gateway earth stations </w:t>
      </w:r>
    </w:p>
    <w:p w14:paraId="3E34BE6A" w14:textId="77777777" w:rsidR="00D02662" w:rsidRDefault="00835321" w:rsidP="005F3D42">
      <w:pPr>
        <w:pStyle w:val="ListBullet"/>
      </w:pPr>
      <w:r w:rsidRPr="00A07ECB">
        <w:t xml:space="preserve">the growth in the use of moving </w:t>
      </w:r>
      <w:r w:rsidRPr="00BB38F9">
        <w:t>earth</w:t>
      </w:r>
      <w:r w:rsidRPr="00A07ECB">
        <w:t xml:space="preserve"> stations</w:t>
      </w:r>
      <w:r>
        <w:t xml:space="preserve"> (also referred to </w:t>
      </w:r>
      <w:r w:rsidRPr="00A30CFC">
        <w:t>as ‘earth stations in</w:t>
      </w:r>
      <w:r>
        <w:t xml:space="preserve"> motion’)</w:t>
      </w:r>
      <w:r w:rsidRPr="00A07ECB">
        <w:t xml:space="preserve"> </w:t>
      </w:r>
      <w:r w:rsidRPr="00A07ECB" w:rsidDel="00C52A58">
        <w:t>in the</w:t>
      </w:r>
      <w:r w:rsidRPr="00A07ECB">
        <w:t xml:space="preserve"> fixed satellite service</w:t>
      </w:r>
      <w:r w:rsidR="00315B33">
        <w:t xml:space="preserve"> (FSS)</w:t>
      </w:r>
      <w:r w:rsidRPr="00A07ECB">
        <w:rPr>
          <w:vertAlign w:val="superscript"/>
        </w:rPr>
        <w:footnoteReference w:id="10"/>
      </w:r>
    </w:p>
    <w:p w14:paraId="0879B430" w14:textId="77777777" w:rsidR="0047527A" w:rsidRDefault="00835321" w:rsidP="005F3D42">
      <w:pPr>
        <w:pStyle w:val="ListBulletLast"/>
      </w:pPr>
      <w:r>
        <w:t xml:space="preserve">the development of large </w:t>
      </w:r>
      <w:r w:rsidR="00D02662">
        <w:t xml:space="preserve">non-geostationary satellite orbit (NGSO) </w:t>
      </w:r>
      <w:r>
        <w:t>systems</w:t>
      </w:r>
      <w:bookmarkStart w:id="170" w:name="_Toc510104936"/>
      <w:bookmarkStart w:id="171" w:name="_Toc510105733"/>
      <w:r w:rsidRPr="00A07ECB">
        <w:t>.</w:t>
      </w:r>
      <w:r w:rsidR="00B84965">
        <w:t xml:space="preserve"> </w:t>
      </w:r>
      <w:r w:rsidR="0047527A">
        <w:t>The ACMA has a detailed program of activity outlined for 2018</w:t>
      </w:r>
      <w:r w:rsidR="007261F6">
        <w:t>–</w:t>
      </w:r>
      <w:r w:rsidR="0047527A">
        <w:t>19 to address a range of different satellite planning requirements. See the info</w:t>
      </w:r>
      <w:r w:rsidR="0057302D">
        <w:t xml:space="preserve">rmation in the </w:t>
      </w:r>
      <w:r w:rsidR="0057302D" w:rsidRPr="00D02662">
        <w:rPr>
          <w:i/>
        </w:rPr>
        <w:t>At a glance</w:t>
      </w:r>
      <w:r w:rsidR="007261F6" w:rsidRPr="00D02662">
        <w:rPr>
          <w:i/>
        </w:rPr>
        <w:t xml:space="preserve">—2018–19 </w:t>
      </w:r>
      <w:r w:rsidR="0047527A" w:rsidRPr="00D02662">
        <w:rPr>
          <w:i/>
        </w:rPr>
        <w:t xml:space="preserve">work program </w:t>
      </w:r>
      <w:r w:rsidR="0057302D" w:rsidRPr="005759E7">
        <w:t>summary</w:t>
      </w:r>
      <w:r w:rsidR="0057302D">
        <w:t xml:space="preserve"> and detailed planning information in Part 2.</w:t>
      </w:r>
    </w:p>
    <w:p w14:paraId="40025A72" w14:textId="77777777" w:rsidR="00B14DB9" w:rsidRPr="00B14DB9" w:rsidRDefault="00E60636" w:rsidP="0056784A">
      <w:pPr>
        <w:pStyle w:val="Heading3"/>
      </w:pPr>
      <w:bookmarkStart w:id="172" w:name="_Toc510795073"/>
      <w:bookmarkStart w:id="173" w:name="_Toc509581805"/>
      <w:bookmarkStart w:id="174" w:name="_Toc509585121"/>
      <w:bookmarkStart w:id="175" w:name="_Toc509585657"/>
      <w:bookmarkStart w:id="176" w:name="_Toc510104937"/>
      <w:bookmarkStart w:id="177" w:name="_Toc510105734"/>
      <w:bookmarkStart w:id="178" w:name="_Toc511716274"/>
      <w:bookmarkStart w:id="179" w:name="_Toc511719085"/>
      <w:bookmarkStart w:id="180" w:name="_Toc522794081"/>
      <w:bookmarkStart w:id="181" w:name="_Toc524517087"/>
      <w:bookmarkStart w:id="182" w:name="_Toc491854101"/>
      <w:bookmarkStart w:id="183" w:name="_Toc494115155"/>
      <w:bookmarkEnd w:id="170"/>
      <w:bookmarkEnd w:id="171"/>
      <w:r w:rsidRPr="00B14DB9">
        <w:t xml:space="preserve">Government </w:t>
      </w:r>
      <w:r w:rsidR="00F36B41">
        <w:t>spectrum requirements</w:t>
      </w:r>
      <w:bookmarkEnd w:id="172"/>
      <w:bookmarkEnd w:id="173"/>
      <w:bookmarkEnd w:id="174"/>
      <w:bookmarkEnd w:id="175"/>
      <w:bookmarkEnd w:id="176"/>
      <w:bookmarkEnd w:id="177"/>
      <w:bookmarkEnd w:id="178"/>
      <w:bookmarkEnd w:id="179"/>
      <w:bookmarkEnd w:id="180"/>
      <w:bookmarkEnd w:id="181"/>
    </w:p>
    <w:p w14:paraId="3554AC6B" w14:textId="77777777" w:rsidR="00C61B31" w:rsidRPr="00BE7AFE" w:rsidRDefault="004952AE" w:rsidP="0027128C">
      <w:r w:rsidRPr="00BE7AFE">
        <w:t xml:space="preserve">The Spectrum Review recommended better integrating the management of public sector spectrum to improve the consistency and integrity of the framework. </w:t>
      </w:r>
      <w:r w:rsidR="007261F6" w:rsidRPr="001C517F">
        <w:t>DoCA</w:t>
      </w:r>
      <w:r w:rsidR="00C61B31" w:rsidRPr="00BE7AFE">
        <w:t xml:space="preserve"> conducted a review of Commonwealth </w:t>
      </w:r>
      <w:r w:rsidR="007261F6">
        <w:t>G</w:t>
      </w:r>
      <w:r w:rsidR="00C61B31" w:rsidRPr="00BE7AFE">
        <w:t>overnment agency spectrum holdings. As a result, a</w:t>
      </w:r>
      <w:r w:rsidR="00011B67">
        <w:t xml:space="preserve"> steering </w:t>
      </w:r>
      <w:r w:rsidR="00C61B31" w:rsidRPr="00BE7AFE">
        <w:t>committee has been established, comprising representatives of rele</w:t>
      </w:r>
      <w:r w:rsidR="00F407B0" w:rsidRPr="00BE7AFE">
        <w:t>vant agencies, that is intended to bring about a reporting regime that will increase transparency of holdings and enable a whole-of-government approach to the management of Commonwealth spectrum.</w:t>
      </w:r>
      <w:r>
        <w:t xml:space="preserve"> While not a formal member of this committee, the ACMA will provide technical assistance. </w:t>
      </w:r>
    </w:p>
    <w:bookmarkEnd w:id="182"/>
    <w:bookmarkEnd w:id="183"/>
    <w:p w14:paraId="0C675905" w14:textId="77777777" w:rsidR="00835321" w:rsidRDefault="007F1E93" w:rsidP="0027128C">
      <w:r>
        <w:t>D</w:t>
      </w:r>
      <w:r w:rsidR="00835321">
        <w:t xml:space="preserve">iscussions </w:t>
      </w:r>
      <w:r>
        <w:t xml:space="preserve">are </w:t>
      </w:r>
      <w:r w:rsidR="00835321">
        <w:t xml:space="preserve">currently underway between the Commonwealth, led by </w:t>
      </w:r>
      <w:r w:rsidR="007261F6">
        <w:t xml:space="preserve">DoCA </w:t>
      </w:r>
      <w:r w:rsidR="00835321">
        <w:t>and the Department</w:t>
      </w:r>
      <w:r w:rsidR="00C61B31">
        <w:t xml:space="preserve"> of Home Affairs</w:t>
      </w:r>
      <w:r w:rsidR="00835321">
        <w:t xml:space="preserve">, and </w:t>
      </w:r>
      <w:r w:rsidR="00DC72D4">
        <w:t>s</w:t>
      </w:r>
      <w:r w:rsidR="00835321">
        <w:t xml:space="preserve">tate and </w:t>
      </w:r>
      <w:r w:rsidR="00DC72D4">
        <w:t>t</w:t>
      </w:r>
      <w:r w:rsidR="00835321">
        <w:t xml:space="preserve">erritory governments on </w:t>
      </w:r>
      <w:r w:rsidR="004952AE">
        <w:t>a public</w:t>
      </w:r>
      <w:r w:rsidR="003F7E3C">
        <w:t xml:space="preserve"> safety mobile broadband (</w:t>
      </w:r>
      <w:r w:rsidR="00835321">
        <w:t>PSMB</w:t>
      </w:r>
      <w:r w:rsidR="003F7E3C">
        <w:t>)</w:t>
      </w:r>
      <w:r w:rsidR="00835321">
        <w:t xml:space="preserve"> capability</w:t>
      </w:r>
      <w:r>
        <w:t xml:space="preserve">. </w:t>
      </w:r>
      <w:r w:rsidR="004952AE">
        <w:t xml:space="preserve">The ACMA is continuing </w:t>
      </w:r>
      <w:r w:rsidR="007261F6">
        <w:t xml:space="preserve">to </w:t>
      </w:r>
      <w:r w:rsidR="004952AE">
        <w:t xml:space="preserve">assist </w:t>
      </w:r>
      <w:r w:rsidR="004952AE">
        <w:lastRenderedPageBreak/>
        <w:t>government in these considerations</w:t>
      </w:r>
      <w:r>
        <w:t>, which may have spectrum management implications</w:t>
      </w:r>
      <w:r w:rsidR="004952AE">
        <w:t xml:space="preserve">. </w:t>
      </w:r>
    </w:p>
    <w:p w14:paraId="73CEC79D" w14:textId="77777777" w:rsidR="00523C81" w:rsidRPr="00BE7AFE" w:rsidRDefault="00523C81" w:rsidP="0056784A">
      <w:pPr>
        <w:pStyle w:val="Heading3"/>
        <w:rPr>
          <w:b w:val="0"/>
        </w:rPr>
      </w:pPr>
      <w:bookmarkStart w:id="184" w:name="_Toc511716275"/>
      <w:bookmarkStart w:id="185" w:name="_Toc511719086"/>
      <w:bookmarkStart w:id="186" w:name="_Toc522794082"/>
      <w:bookmarkStart w:id="187" w:name="_Toc524517088"/>
      <w:r w:rsidRPr="00BE7AFE">
        <w:t>Dynamic spectrum access</w:t>
      </w:r>
      <w:bookmarkEnd w:id="184"/>
      <w:bookmarkEnd w:id="185"/>
      <w:bookmarkEnd w:id="186"/>
      <w:bookmarkEnd w:id="187"/>
    </w:p>
    <w:p w14:paraId="5ECCD815" w14:textId="77777777" w:rsidR="00B52756" w:rsidRDefault="00B52756" w:rsidP="00BE7AFE">
      <w:r w:rsidRPr="00992F00">
        <w:t>Spectrum sharing is fundamental to effective spectrum management and a key tool in maximising the benefits achieved through use of the spectrum resource. As with all forms of resource sharing, spectrum sharing requires some degree of compromise between multiple spectrum uses (</w:t>
      </w:r>
      <w:r>
        <w:t>that is,</w:t>
      </w:r>
      <w:r w:rsidRPr="00992F00">
        <w:t xml:space="preserve"> services or applications) or users (individual licensees) accessing the shared spectrum.</w:t>
      </w:r>
      <w:r>
        <w:t xml:space="preserve"> </w:t>
      </w:r>
    </w:p>
    <w:p w14:paraId="738A75D1" w14:textId="77777777" w:rsidR="00B52756" w:rsidRDefault="00B52756" w:rsidP="0027128C">
      <w:r>
        <w:t>Traditionally, spectrum sharing has largely focused on static approaches that establish co-existence arrangements defined through fixed geographic and spectral boundaries. It has been far less common to use dynamic spectrum</w:t>
      </w:r>
      <w:r w:rsidR="007261F6">
        <w:t>-</w:t>
      </w:r>
      <w:r>
        <w:t>sharing approaches, sometimes referred to collectively as dynamic spectrum access (DSA) or dynamic spectrum management</w:t>
      </w:r>
      <w:r w:rsidR="00A927C4">
        <w:t>. These</w:t>
      </w:r>
      <w:r w:rsidDel="00A927C4">
        <w:t xml:space="preserve"> </w:t>
      </w:r>
      <w:r>
        <w:t xml:space="preserve">techniques </w:t>
      </w:r>
      <w:r w:rsidR="00954847">
        <w:t>typically take</w:t>
      </w:r>
      <w:r>
        <w:t xml:space="preserve"> advantage of time-based changes in spectrum use by spectrum users</w:t>
      </w:r>
      <w:r w:rsidR="007261F6">
        <w:t>—</w:t>
      </w:r>
      <w:r>
        <w:t xml:space="preserve">that is, some spectrum users may not use all the spectrum, in all geographic areas, all the time. </w:t>
      </w:r>
    </w:p>
    <w:p w14:paraId="21D6CB1D" w14:textId="77777777" w:rsidR="00B52756" w:rsidRPr="00FC1F4D" w:rsidRDefault="00B52756" w:rsidP="00B52756">
      <w:r>
        <w:t>In practice, DSA approaches have relied on a hierarchical access approach, where lower</w:t>
      </w:r>
      <w:r w:rsidR="007261F6">
        <w:t>-</w:t>
      </w:r>
      <w:r>
        <w:t>tier users</w:t>
      </w:r>
      <w:r>
        <w:rPr>
          <w:rStyle w:val="FootnoteReference"/>
        </w:rPr>
        <w:footnoteReference w:id="11"/>
      </w:r>
      <w:r>
        <w:t xml:space="preserve"> dynamically give way to higher</w:t>
      </w:r>
      <w:r w:rsidR="007261F6">
        <w:t>-</w:t>
      </w:r>
      <w:r>
        <w:t xml:space="preserve">tier users. Clarity on tier rights is important as it </w:t>
      </w:r>
      <w:r w:rsidR="00391210">
        <w:t xml:space="preserve">provides </w:t>
      </w:r>
      <w:r w:rsidR="008D6A3E">
        <w:t xml:space="preserve">confidence to </w:t>
      </w:r>
      <w:r w:rsidR="00391210">
        <w:t>each user about the terms of spectrum access</w:t>
      </w:r>
      <w:r w:rsidR="007261F6">
        <w:t>,</w:t>
      </w:r>
      <w:r w:rsidR="008D5491">
        <w:t xml:space="preserve"> which allows an </w:t>
      </w:r>
      <w:r w:rsidR="00391210">
        <w:t xml:space="preserve">assessment of </w:t>
      </w:r>
      <w:r>
        <w:t>whether the access is suitable to their needs.</w:t>
      </w:r>
    </w:p>
    <w:p w14:paraId="483AD87F" w14:textId="77777777" w:rsidR="00B52756" w:rsidRPr="00BE7AFE" w:rsidRDefault="008D5491" w:rsidP="00BE7AFE">
      <w:r>
        <w:t xml:space="preserve">Tiered sharing </w:t>
      </w:r>
      <w:r w:rsidR="00B52756">
        <w:t>works best when the users are compl</w:t>
      </w:r>
      <w:r w:rsidR="001936FE">
        <w:t>e</w:t>
      </w:r>
      <w:r w:rsidR="00B52756">
        <w:t>mentary in nature</w:t>
      </w:r>
      <w:r w:rsidR="007261F6">
        <w:t>—</w:t>
      </w:r>
      <w:r w:rsidR="00B52756">
        <w:t>for example</w:t>
      </w:r>
      <w:r w:rsidR="007261F6">
        <w:t>,</w:t>
      </w:r>
      <w:r w:rsidR="00B52756">
        <w:t xml:space="preserve"> when one user’s usage is intermittent (often the top</w:t>
      </w:r>
      <w:r w:rsidR="007261F6">
        <w:t>-</w:t>
      </w:r>
      <w:r w:rsidR="00B52756">
        <w:t>tier user) and the lower</w:t>
      </w:r>
      <w:r w:rsidR="007261F6">
        <w:t>-</w:t>
      </w:r>
      <w:r w:rsidR="00B52756">
        <w:t>tier user can accept that in some circumstances they will need to cease operations for some period of time. If this condition cannot be met, then enough spectrum is needed to ensure there is a high probability of sufficient clear, unused, spectrum being available to meet all user needs. Lower</w:t>
      </w:r>
      <w:r w:rsidR="007261F6">
        <w:t>-</w:t>
      </w:r>
      <w:r w:rsidR="00B52756">
        <w:t>tier users are unlikely to invest in expensive infrastructure without sufficiently reliable spectrum access.</w:t>
      </w:r>
      <w:r w:rsidR="00447762">
        <w:t xml:space="preserve"> </w:t>
      </w:r>
    </w:p>
    <w:p w14:paraId="14906C7C" w14:textId="77777777" w:rsidR="00B52756" w:rsidRDefault="00B52756" w:rsidP="00B52756">
      <w:r>
        <w:t>Limited use of DSA in the past is in part due to technological limitations</w:t>
      </w:r>
      <w:r w:rsidR="009076CC">
        <w:t>, spectrum availability factors</w:t>
      </w:r>
      <w:r>
        <w:t xml:space="preserve"> and user expectations. As such, regulatory frameworks have not been widely developed to facilitate spectrum sharing through DSA. In effect, the complexity and compromises that are </w:t>
      </w:r>
      <w:r w:rsidR="00954847">
        <w:t>currently</w:t>
      </w:r>
      <w:r>
        <w:t xml:space="preserve"> associated with </w:t>
      </w:r>
      <w:r w:rsidR="00954847">
        <w:t>most</w:t>
      </w:r>
      <w:r>
        <w:t xml:space="preserve"> dynamic spectrum-sharing arrangements has meant that </w:t>
      </w:r>
      <w:r w:rsidR="008D5491">
        <w:t xml:space="preserve">DSA applications have not yet attracted any strong interest in Australia. </w:t>
      </w:r>
    </w:p>
    <w:p w14:paraId="039E9D8D" w14:textId="77777777" w:rsidR="00523C81" w:rsidRDefault="00B52756" w:rsidP="002E1FCB">
      <w:r>
        <w:t xml:space="preserve">Although </w:t>
      </w:r>
      <w:r w:rsidR="009076CC">
        <w:t>a</w:t>
      </w:r>
      <w:r>
        <w:t xml:space="preserve"> number of the DSA frameworks have been proposed or introduced by overseas spectrum regulators, domestic opportunities for full-scale deployment of DSA techniques and regulatory approaches </w:t>
      </w:r>
      <w:r w:rsidR="008D5491">
        <w:t xml:space="preserve">in Australia </w:t>
      </w:r>
      <w:r>
        <w:t>have not yet presented themselves. The ACMA will continue to monitor international regulatory and technical developments, and implement DSA arrangements when and where appropriate</w:t>
      </w:r>
      <w:r w:rsidR="00197216">
        <w:t xml:space="preserve">, noting that </w:t>
      </w:r>
      <w:r w:rsidR="0036561C">
        <w:t xml:space="preserve">sharing </w:t>
      </w:r>
      <w:r w:rsidR="00197216">
        <w:t xml:space="preserve">opportunities </w:t>
      </w:r>
      <w:r w:rsidR="00197216" w:rsidRPr="001D3119">
        <w:t>in the 3.3</w:t>
      </w:r>
      <w:r w:rsidR="001D3119" w:rsidRPr="001D3119">
        <w:t xml:space="preserve">, </w:t>
      </w:r>
      <w:r w:rsidR="001D3119">
        <w:t>4.5 and 4.8</w:t>
      </w:r>
      <w:r w:rsidR="00197216">
        <w:t xml:space="preserve"> GHz bands are being monitored. Further information is outlined in </w:t>
      </w:r>
      <w:r w:rsidR="0036561C">
        <w:t>the detailed planning discussion at Part 2.</w:t>
      </w:r>
      <w:r w:rsidR="00447762">
        <w:t xml:space="preserve"> </w:t>
      </w:r>
    </w:p>
    <w:p w14:paraId="770EEF27" w14:textId="77777777" w:rsidR="00B026E8" w:rsidRPr="007916F4" w:rsidRDefault="00B026E8" w:rsidP="007916F4">
      <w:pPr>
        <w:pStyle w:val="Heading1"/>
        <w:rPr>
          <w:rStyle w:val="TitleChar"/>
          <w:rFonts w:ascii="Arial" w:hAnsi="Arial" w:cs="Arial"/>
          <w:spacing w:val="0"/>
          <w:kern w:val="32"/>
          <w:sz w:val="53"/>
          <w:szCs w:val="32"/>
          <w:lang w:eastAsia="en-AU"/>
        </w:rPr>
      </w:pPr>
      <w:bookmarkStart w:id="188" w:name="_Toc509581810"/>
      <w:bookmarkStart w:id="189" w:name="_Toc509585126"/>
      <w:bookmarkStart w:id="190" w:name="_Toc509585662"/>
      <w:bookmarkStart w:id="191" w:name="_Toc510104940"/>
      <w:bookmarkStart w:id="192" w:name="_Toc510105737"/>
      <w:bookmarkStart w:id="193" w:name="_Toc510795075"/>
      <w:bookmarkStart w:id="194" w:name="_Toc511716277"/>
      <w:bookmarkStart w:id="195" w:name="_Toc511719088"/>
      <w:bookmarkStart w:id="196" w:name="_Toc522794083"/>
      <w:bookmarkStart w:id="197" w:name="_Toc524517089"/>
      <w:bookmarkStart w:id="198" w:name="_Toc491854106"/>
      <w:bookmarkStart w:id="199" w:name="_Toc494115161"/>
      <w:r>
        <w:rPr>
          <w:rStyle w:val="TitleChar"/>
          <w:rFonts w:ascii="Arial" w:hAnsi="Arial" w:cs="Arial"/>
          <w:spacing w:val="0"/>
          <w:kern w:val="32"/>
          <w:sz w:val="53"/>
          <w:szCs w:val="32"/>
          <w:lang w:eastAsia="en-AU"/>
        </w:rPr>
        <w:lastRenderedPageBreak/>
        <w:t>Part 2</w:t>
      </w:r>
      <w:r w:rsidR="007261F6">
        <w:rPr>
          <w:rStyle w:val="TitleChar"/>
          <w:rFonts w:ascii="Arial" w:hAnsi="Arial" w:cs="Arial"/>
          <w:spacing w:val="0"/>
          <w:kern w:val="32"/>
          <w:sz w:val="53"/>
          <w:szCs w:val="32"/>
          <w:lang w:eastAsia="en-AU"/>
        </w:rPr>
        <w:t>—</w:t>
      </w:r>
      <w:r>
        <w:rPr>
          <w:rStyle w:val="TitleChar"/>
          <w:rFonts w:ascii="Arial" w:hAnsi="Arial" w:cs="Arial"/>
          <w:spacing w:val="0"/>
          <w:kern w:val="32"/>
          <w:sz w:val="53"/>
          <w:szCs w:val="32"/>
          <w:lang w:eastAsia="en-AU"/>
        </w:rPr>
        <w:t xml:space="preserve">Proposed </w:t>
      </w:r>
      <w:r w:rsidRPr="00835321">
        <w:rPr>
          <w:rStyle w:val="TitleChar"/>
          <w:rFonts w:ascii="Arial" w:hAnsi="Arial" w:cs="Arial"/>
          <w:spacing w:val="0"/>
          <w:kern w:val="32"/>
          <w:sz w:val="53"/>
          <w:szCs w:val="32"/>
          <w:lang w:eastAsia="en-AU"/>
        </w:rPr>
        <w:t>201</w:t>
      </w:r>
      <w:r>
        <w:rPr>
          <w:rStyle w:val="TitleChar"/>
          <w:rFonts w:ascii="Arial" w:hAnsi="Arial" w:cs="Arial"/>
          <w:spacing w:val="0"/>
          <w:kern w:val="32"/>
          <w:sz w:val="53"/>
          <w:szCs w:val="32"/>
          <w:lang w:eastAsia="en-AU"/>
        </w:rPr>
        <w:t>8–</w:t>
      </w:r>
      <w:r w:rsidRPr="00835321">
        <w:rPr>
          <w:rStyle w:val="TitleChar"/>
          <w:rFonts w:ascii="Arial" w:hAnsi="Arial" w:cs="Arial"/>
          <w:spacing w:val="0"/>
          <w:kern w:val="32"/>
          <w:sz w:val="53"/>
          <w:szCs w:val="32"/>
          <w:lang w:eastAsia="en-AU"/>
        </w:rPr>
        <w:t>1</w:t>
      </w:r>
      <w:r>
        <w:rPr>
          <w:rStyle w:val="TitleChar"/>
          <w:rFonts w:ascii="Arial" w:hAnsi="Arial" w:cs="Arial"/>
          <w:spacing w:val="0"/>
          <w:kern w:val="32"/>
          <w:sz w:val="53"/>
          <w:szCs w:val="32"/>
          <w:lang w:eastAsia="en-AU"/>
        </w:rPr>
        <w:t>9</w:t>
      </w:r>
      <w:r w:rsidRPr="00835321">
        <w:rPr>
          <w:rStyle w:val="TitleChar"/>
          <w:rFonts w:ascii="Arial" w:hAnsi="Arial" w:cs="Arial"/>
          <w:spacing w:val="0"/>
          <w:kern w:val="32"/>
          <w:sz w:val="53"/>
          <w:szCs w:val="32"/>
          <w:lang w:eastAsia="en-AU"/>
        </w:rPr>
        <w:t xml:space="preserve"> </w:t>
      </w:r>
      <w:r>
        <w:rPr>
          <w:rStyle w:val="TitleChar"/>
          <w:rFonts w:ascii="Arial" w:hAnsi="Arial" w:cs="Arial"/>
          <w:spacing w:val="0"/>
          <w:kern w:val="32"/>
          <w:sz w:val="53"/>
          <w:szCs w:val="32"/>
          <w:lang w:eastAsia="en-AU"/>
        </w:rPr>
        <w:t>spectrum work program</w:t>
      </w:r>
      <w:bookmarkEnd w:id="188"/>
      <w:bookmarkEnd w:id="189"/>
      <w:bookmarkEnd w:id="190"/>
      <w:bookmarkEnd w:id="191"/>
      <w:bookmarkEnd w:id="192"/>
      <w:bookmarkEnd w:id="193"/>
      <w:bookmarkEnd w:id="194"/>
      <w:bookmarkEnd w:id="195"/>
      <w:bookmarkEnd w:id="196"/>
      <w:bookmarkEnd w:id="197"/>
    </w:p>
    <w:bookmarkEnd w:id="198"/>
    <w:bookmarkEnd w:id="199"/>
    <w:p w14:paraId="12F9AF92" w14:textId="77777777" w:rsidR="009A117B" w:rsidRDefault="00410CC1" w:rsidP="005759E7">
      <w:pPr>
        <w:spacing w:after="80"/>
      </w:pPr>
      <w:r>
        <w:rPr>
          <w:rFonts w:cs="Arial"/>
          <w:szCs w:val="20"/>
        </w:rPr>
        <w:t>In Part 2</w:t>
      </w:r>
      <w:r w:rsidR="007261F6">
        <w:rPr>
          <w:rFonts w:cs="Arial"/>
          <w:szCs w:val="20"/>
        </w:rPr>
        <w:t>,</w:t>
      </w:r>
      <w:r>
        <w:rPr>
          <w:rFonts w:cs="Arial"/>
          <w:szCs w:val="20"/>
        </w:rPr>
        <w:t xml:space="preserve"> we provide information about the work</w:t>
      </w:r>
      <w:r w:rsidR="00AD35B8">
        <w:rPr>
          <w:rFonts w:cs="Arial"/>
          <w:szCs w:val="20"/>
        </w:rPr>
        <w:t xml:space="preserve"> </w:t>
      </w:r>
      <w:r>
        <w:rPr>
          <w:rFonts w:cs="Arial"/>
          <w:szCs w:val="20"/>
        </w:rPr>
        <w:t xml:space="preserve">streams and </w:t>
      </w:r>
      <w:r w:rsidR="004F595C">
        <w:t xml:space="preserve">activities that the </w:t>
      </w:r>
      <w:r w:rsidR="00835321">
        <w:t xml:space="preserve">ACMA is proposing to focus on over the </w:t>
      </w:r>
      <w:r w:rsidR="004F595C">
        <w:t>2018</w:t>
      </w:r>
      <w:r w:rsidR="007261F6">
        <w:t>–</w:t>
      </w:r>
      <w:r w:rsidR="004F595C">
        <w:t>19</w:t>
      </w:r>
      <w:r w:rsidR="00835321">
        <w:t xml:space="preserve"> financial year</w:t>
      </w:r>
      <w:r>
        <w:t>. Where elements of planning, allocation and Spectrum Review implementation activities span multiple years, we have identified the relevant timing information. Activities</w:t>
      </w:r>
      <w:r w:rsidR="004F595C">
        <w:t xml:space="preserve"> </w:t>
      </w:r>
      <w:r w:rsidR="00835321">
        <w:t xml:space="preserve">are grouped according </w:t>
      </w:r>
      <w:r w:rsidR="00835321" w:rsidRPr="00125FC9">
        <w:t xml:space="preserve">to </w:t>
      </w:r>
      <w:r>
        <w:t xml:space="preserve">the ACMA’s </w:t>
      </w:r>
      <w:r w:rsidR="00835321" w:rsidRPr="00125FC9">
        <w:t>main spectrum management functions</w:t>
      </w:r>
      <w:r w:rsidR="009A117B">
        <w:t>:</w:t>
      </w:r>
    </w:p>
    <w:p w14:paraId="0FD12605" w14:textId="77777777" w:rsidR="009A117B" w:rsidRPr="00FC654E" w:rsidRDefault="001A47A9" w:rsidP="005759E7">
      <w:pPr>
        <w:pStyle w:val="ListBullet"/>
      </w:pPr>
      <w:r>
        <w:t>p</w:t>
      </w:r>
      <w:r w:rsidR="009A117B" w:rsidRPr="007A2ADC">
        <w:t>lanning</w:t>
      </w:r>
    </w:p>
    <w:p w14:paraId="65AC4736" w14:textId="77777777" w:rsidR="00CF322E" w:rsidRPr="00FC654E" w:rsidRDefault="001A47A9" w:rsidP="005759E7">
      <w:pPr>
        <w:pStyle w:val="ListBullet"/>
      </w:pPr>
      <w:r>
        <w:t>a</w:t>
      </w:r>
      <w:r w:rsidR="00CF322E" w:rsidRPr="00FC654E">
        <w:t xml:space="preserve">llocations </w:t>
      </w:r>
    </w:p>
    <w:p w14:paraId="1D34C1B4" w14:textId="61F81239" w:rsidR="00950ACD" w:rsidRPr="00FC654E" w:rsidRDefault="001A47A9" w:rsidP="005759E7">
      <w:pPr>
        <w:pStyle w:val="ListBullet"/>
      </w:pPr>
      <w:r>
        <w:t>r</w:t>
      </w:r>
      <w:r w:rsidR="00950ACD" w:rsidRPr="00FC654E">
        <w:t>egulatory review and reform</w:t>
      </w:r>
      <w:r w:rsidR="00315B33">
        <w:t>,</w:t>
      </w:r>
      <w:r w:rsidR="00ED67AD" w:rsidRPr="00FC654E">
        <w:t xml:space="preserve"> with a focus on implementation of the Spectrum</w:t>
      </w:r>
      <w:r w:rsidR="00F03207">
        <w:t> </w:t>
      </w:r>
      <w:r w:rsidR="00ED67AD" w:rsidRPr="00FC654E">
        <w:t>Review</w:t>
      </w:r>
    </w:p>
    <w:p w14:paraId="0BF7DD20" w14:textId="77777777" w:rsidR="00A03B91" w:rsidRPr="00FC654E" w:rsidRDefault="001A47A9" w:rsidP="005759E7">
      <w:pPr>
        <w:pStyle w:val="ListBullet"/>
      </w:pPr>
      <w:r>
        <w:t>l</w:t>
      </w:r>
      <w:r w:rsidR="00A03B91" w:rsidRPr="00FC654E">
        <w:t>icensing</w:t>
      </w:r>
    </w:p>
    <w:p w14:paraId="3EEADA15" w14:textId="77777777" w:rsidR="00A03B91" w:rsidRPr="00FC654E" w:rsidRDefault="001A47A9" w:rsidP="005759E7">
      <w:pPr>
        <w:pStyle w:val="ListBullet"/>
      </w:pPr>
      <w:r>
        <w:t>p</w:t>
      </w:r>
      <w:r w:rsidR="00A03B91" w:rsidRPr="00FC654E">
        <w:t xml:space="preserve">ricing </w:t>
      </w:r>
    </w:p>
    <w:p w14:paraId="52BD4014" w14:textId="77777777" w:rsidR="009A117B" w:rsidRPr="00FC654E" w:rsidRDefault="001A47A9" w:rsidP="005759E7">
      <w:pPr>
        <w:pStyle w:val="ListBullet"/>
      </w:pPr>
      <w:r>
        <w:t>c</w:t>
      </w:r>
      <w:r w:rsidR="009A117B" w:rsidRPr="00FC654E">
        <w:t>ompliance and enforcement</w:t>
      </w:r>
    </w:p>
    <w:p w14:paraId="4150210C" w14:textId="77777777" w:rsidR="009A117B" w:rsidRPr="00FC654E" w:rsidRDefault="001A47A9" w:rsidP="005759E7">
      <w:pPr>
        <w:pStyle w:val="ListBulletLast"/>
      </w:pPr>
      <w:r>
        <w:t>i</w:t>
      </w:r>
      <w:r w:rsidR="009A117B" w:rsidRPr="00FC654E">
        <w:t>nternational engagement</w:t>
      </w:r>
      <w:r w:rsidR="00DA7873">
        <w:t>.</w:t>
      </w:r>
    </w:p>
    <w:p w14:paraId="3A10A4C6" w14:textId="77777777" w:rsidR="002C689F" w:rsidRDefault="002C689F" w:rsidP="0027128C">
      <w:r w:rsidRPr="005435F9">
        <w:t xml:space="preserve">The ACMA’s spectrum </w:t>
      </w:r>
      <w:r w:rsidR="00BA6010" w:rsidRPr="005435F9">
        <w:t>work program</w:t>
      </w:r>
      <w:r w:rsidRPr="005435F9">
        <w:t xml:space="preserve"> remains responsive to short</w:t>
      </w:r>
      <w:r w:rsidR="001A47A9" w:rsidRPr="005435F9">
        <w:t>-</w:t>
      </w:r>
      <w:r w:rsidRPr="005435F9">
        <w:t>term changes in spectrum demand, technological developments, government priorities and available resourcing. The planned milestones in this FYSO,</w:t>
      </w:r>
      <w:r w:rsidRPr="005435F9" w:rsidDel="004F00F6">
        <w:t xml:space="preserve"> </w:t>
      </w:r>
      <w:r w:rsidR="004F00F6">
        <w:t>including</w:t>
      </w:r>
      <w:r w:rsidR="004F00F6" w:rsidRPr="005435F9">
        <w:t xml:space="preserve"> </w:t>
      </w:r>
      <w:r w:rsidRPr="005435F9">
        <w:t xml:space="preserve">those relating to </w:t>
      </w:r>
      <w:r w:rsidRPr="002C689F">
        <w:t>2018</w:t>
      </w:r>
      <w:r w:rsidR="005435F9">
        <w:t>–</w:t>
      </w:r>
      <w:r w:rsidRPr="002C689F">
        <w:t xml:space="preserve">19, are subject to change. The ACMA’s responsibilities in implementing new spectrum management legislation (see </w:t>
      </w:r>
      <w:r w:rsidRPr="005759E7">
        <w:rPr>
          <w:i/>
        </w:rPr>
        <w:t xml:space="preserve">Spectrum Review </w:t>
      </w:r>
      <w:r w:rsidR="005435F9" w:rsidRPr="005759E7">
        <w:rPr>
          <w:i/>
        </w:rPr>
        <w:t>i</w:t>
      </w:r>
      <w:r w:rsidRPr="005759E7">
        <w:rPr>
          <w:i/>
        </w:rPr>
        <w:t>mplementation</w:t>
      </w:r>
      <w:r w:rsidRPr="002C689F">
        <w:t>, below) will be significant, particularly in the period leading up to commencement of that legislation. As the legislation is settled and the timetable for its consideration by Parliament firms up, the timing and nature of the ACMA’s responsibilities will become clearer and may affect the other milestones provided here.</w:t>
      </w:r>
    </w:p>
    <w:p w14:paraId="2B8E0A7C" w14:textId="77777777" w:rsidR="00F029CD" w:rsidRDefault="00F029CD" w:rsidP="0027128C">
      <w:r>
        <w:t>The 2018</w:t>
      </w:r>
      <w:r w:rsidR="00315B33">
        <w:t>–</w:t>
      </w:r>
      <w:r>
        <w:t>22 FYSO outlines the ACMA’s priorities for spectrum management activities in the 2018</w:t>
      </w:r>
      <w:r w:rsidR="00315B33">
        <w:t>–</w:t>
      </w:r>
      <w:r>
        <w:t>19 year in particular. As the response to submissions demonstrates</w:t>
      </w:r>
      <w:r w:rsidR="00DB5EAA">
        <w:rPr>
          <w:rStyle w:val="FootnoteReference"/>
        </w:rPr>
        <w:footnoteReference w:id="12"/>
      </w:r>
      <w:r>
        <w:t>, there is demand for more activity from the ACMA than can be accommodated within our finite resources.</w:t>
      </w:r>
    </w:p>
    <w:p w14:paraId="033506A0" w14:textId="77777777" w:rsidR="00F029CD" w:rsidRDefault="00F029CD" w:rsidP="001B1B7A">
      <w:pPr>
        <w:spacing w:after="80"/>
      </w:pPr>
      <w:r>
        <w:t xml:space="preserve">In responding to suggestions for changes to our spectrum management priorities, the ACMA </w:t>
      </w:r>
      <w:proofErr w:type="gramStart"/>
      <w:r>
        <w:t>takes into account</w:t>
      </w:r>
      <w:proofErr w:type="gramEnd"/>
      <w:r>
        <w:t xml:space="preserve"> a range of relevant considerations</w:t>
      </w:r>
      <w:r w:rsidR="00315B33">
        <w:t>,</w:t>
      </w:r>
      <w:r>
        <w:t xml:space="preserve"> including:</w:t>
      </w:r>
    </w:p>
    <w:p w14:paraId="244BD7DB" w14:textId="77777777" w:rsidR="00585DA3" w:rsidRDefault="00A76060" w:rsidP="005F3D42">
      <w:pPr>
        <w:pStyle w:val="ListBullet"/>
        <w:numPr>
          <w:ilvl w:val="0"/>
          <w:numId w:val="65"/>
        </w:numPr>
      </w:pPr>
      <w:r>
        <w:t xml:space="preserve">maximising the efficient allocation and use of </w:t>
      </w:r>
      <w:r w:rsidR="00585DA3">
        <w:t>radiofrequency spectrum</w:t>
      </w:r>
    </w:p>
    <w:p w14:paraId="0CA4BB17" w14:textId="77777777" w:rsidR="00F029CD" w:rsidRDefault="00F029CD" w:rsidP="005F3D42">
      <w:pPr>
        <w:pStyle w:val="ListBullet"/>
        <w:numPr>
          <w:ilvl w:val="0"/>
          <w:numId w:val="65"/>
        </w:numPr>
      </w:pPr>
      <w:r>
        <w:t>changes in the development, availability and take-up of radiofrequency technologies</w:t>
      </w:r>
      <w:r w:rsidR="00585DA3">
        <w:t>, both in Australian and internationally</w:t>
      </w:r>
    </w:p>
    <w:p w14:paraId="26AA1342" w14:textId="77777777" w:rsidR="00585DA3" w:rsidRPr="006F7E0C" w:rsidRDefault="00585DA3" w:rsidP="005F3D42">
      <w:pPr>
        <w:pStyle w:val="ListBullet"/>
        <w:numPr>
          <w:ilvl w:val="0"/>
          <w:numId w:val="65"/>
        </w:numPr>
      </w:pPr>
      <w:r>
        <w:t xml:space="preserve">spectrum management trends, including through the four-yearly </w:t>
      </w:r>
      <w:r w:rsidR="00AA45B0">
        <w:t xml:space="preserve">ITU-R </w:t>
      </w:r>
      <w:r w:rsidRPr="006F7E0C">
        <w:t>World Radio</w:t>
      </w:r>
      <w:r w:rsidR="00AA45B0" w:rsidRPr="006F7E0C">
        <w:t>communication</w:t>
      </w:r>
      <w:r w:rsidRPr="006F7E0C">
        <w:t xml:space="preserve"> </w:t>
      </w:r>
      <w:r w:rsidR="00AA45B0" w:rsidRPr="006F7E0C">
        <w:t>Conference</w:t>
      </w:r>
      <w:r w:rsidRPr="006F7E0C">
        <w:t xml:space="preserve"> </w:t>
      </w:r>
      <w:r w:rsidR="001C517F" w:rsidRPr="006F7E0C">
        <w:t xml:space="preserve">(WRC) </w:t>
      </w:r>
      <w:r w:rsidRPr="006F7E0C">
        <w:t>process</w:t>
      </w:r>
    </w:p>
    <w:p w14:paraId="65B1A3C4" w14:textId="77777777" w:rsidR="00BD36DA" w:rsidRDefault="00BD36DA" w:rsidP="005F3D42">
      <w:pPr>
        <w:pStyle w:val="ListBullet"/>
        <w:numPr>
          <w:ilvl w:val="0"/>
          <w:numId w:val="65"/>
        </w:numPr>
      </w:pPr>
      <w:r>
        <w:t>use the least cost and least restrictive approach to achieve policy objectives</w:t>
      </w:r>
      <w:r w:rsidR="00315B33">
        <w:t>.</w:t>
      </w:r>
    </w:p>
    <w:p w14:paraId="6AE47968" w14:textId="77777777" w:rsidR="00CF322E" w:rsidRDefault="00CF322E" w:rsidP="005759E7">
      <w:pPr>
        <w:pStyle w:val="Heading1"/>
      </w:pPr>
      <w:bookmarkStart w:id="200" w:name="_Toc510104942"/>
      <w:bookmarkStart w:id="201" w:name="_Toc510105739"/>
      <w:bookmarkStart w:id="202" w:name="_Toc510795076"/>
      <w:bookmarkStart w:id="203" w:name="_Toc511716278"/>
      <w:bookmarkStart w:id="204" w:name="_Toc511719089"/>
      <w:bookmarkStart w:id="205" w:name="_Toc522794084"/>
      <w:bookmarkStart w:id="206" w:name="_Toc524517090"/>
      <w:bookmarkStart w:id="207" w:name="_Toc491854085"/>
      <w:bookmarkStart w:id="208" w:name="_Toc494115131"/>
      <w:bookmarkStart w:id="209" w:name="_Toc496624990"/>
      <w:bookmarkStart w:id="210" w:name="_Toc509581812"/>
      <w:bookmarkStart w:id="211" w:name="_Toc509585128"/>
      <w:bookmarkStart w:id="212" w:name="_Toc509585664"/>
      <w:r>
        <w:lastRenderedPageBreak/>
        <w:t>Planning</w:t>
      </w:r>
      <w:bookmarkEnd w:id="200"/>
      <w:bookmarkEnd w:id="201"/>
      <w:bookmarkEnd w:id="202"/>
      <w:bookmarkEnd w:id="203"/>
      <w:bookmarkEnd w:id="204"/>
      <w:bookmarkEnd w:id="205"/>
      <w:bookmarkEnd w:id="206"/>
    </w:p>
    <w:p w14:paraId="5A127780" w14:textId="77777777" w:rsidR="007916F4" w:rsidRDefault="008A199D" w:rsidP="00530A2E">
      <w:r>
        <w:t xml:space="preserve">The ACMA aims to optimise planning arrangements in each band for the use or uses that maximise the overall public benefit. Planning arrangements in bands should enable the allocation (or movement) of spectrum to specific users with no, or minimal, further regulatory intervention, and may remain stable over long periods of time. </w:t>
      </w:r>
    </w:p>
    <w:p w14:paraId="117F58EC" w14:textId="77777777" w:rsidR="008A199D" w:rsidRDefault="008A199D" w:rsidP="00CA45D7">
      <w:r>
        <w:t>Where there is evidence of changes in the optimal use o</w:t>
      </w:r>
      <w:r w:rsidR="00FC1306">
        <w:t>r</w:t>
      </w:r>
      <w:r>
        <w:t xml:space="preserve"> uses of bands, however, the </w:t>
      </w:r>
      <w:r w:rsidRPr="00E02E8A">
        <w:t xml:space="preserve">ACMA </w:t>
      </w:r>
      <w:r>
        <w:t>may identify that there is a net public benefit in</w:t>
      </w:r>
      <w:r w:rsidRPr="00E02E8A">
        <w:t xml:space="preserve"> the band </w:t>
      </w:r>
      <w:r>
        <w:t>mov</w:t>
      </w:r>
      <w:r w:rsidRPr="00E02E8A">
        <w:t xml:space="preserve">ing </w:t>
      </w:r>
      <w:r>
        <w:t>to</w:t>
      </w:r>
      <w:r w:rsidRPr="00E02E8A">
        <w:t xml:space="preserve"> a new</w:t>
      </w:r>
      <w:r>
        <w:t xml:space="preserve"> or changed</w:t>
      </w:r>
      <w:r w:rsidRPr="00E02E8A">
        <w:t xml:space="preserve"> use, </w:t>
      </w:r>
      <w:r>
        <w:t>or being re-configured to better support an existing use. Consulting where appropriate with existing and future users, the ACMA will then consider how best to accommodate additional uses or users within the available spectrum.</w:t>
      </w:r>
    </w:p>
    <w:p w14:paraId="5D830D08" w14:textId="77777777" w:rsidR="00C50635" w:rsidRDefault="00C50635" w:rsidP="005759E7">
      <w:pPr>
        <w:spacing w:after="80"/>
      </w:pPr>
      <w:r>
        <w:t>Planning activities are directed into two main streams:</w:t>
      </w:r>
    </w:p>
    <w:p w14:paraId="0797C7B2" w14:textId="77777777" w:rsidR="00C50635" w:rsidRPr="00FC654E" w:rsidRDefault="00B43510" w:rsidP="005759E7">
      <w:pPr>
        <w:pStyle w:val="ListBullet"/>
      </w:pPr>
      <w:r>
        <w:t>m</w:t>
      </w:r>
      <w:r w:rsidR="008A199D" w:rsidRPr="00FC654E">
        <w:t xml:space="preserve">ajor </w:t>
      </w:r>
      <w:r w:rsidR="00C50635" w:rsidRPr="00FC654E">
        <w:t xml:space="preserve">band </w:t>
      </w:r>
      <w:r w:rsidR="008A199D">
        <w:t>(re)</w:t>
      </w:r>
      <w:r w:rsidR="00C50635" w:rsidRPr="00FC654E">
        <w:t xml:space="preserve">planning </w:t>
      </w:r>
      <w:r w:rsidR="009E2FED">
        <w:t xml:space="preserve">activities </w:t>
      </w:r>
      <w:r w:rsidR="00C50635" w:rsidRPr="00FC654E">
        <w:t xml:space="preserve">to support the establishment of new </w:t>
      </w:r>
      <w:r w:rsidR="00E41275">
        <w:t xml:space="preserve">spectrum </w:t>
      </w:r>
      <w:r w:rsidR="00C50635" w:rsidRPr="00FC654E">
        <w:t>uses</w:t>
      </w:r>
      <w:r w:rsidR="008A199D">
        <w:t>.</w:t>
      </w:r>
      <w:r w:rsidR="00447762">
        <w:t xml:space="preserve"> </w:t>
      </w:r>
      <w:r w:rsidR="008A199D">
        <w:t>This may require</w:t>
      </w:r>
      <w:r w:rsidR="00C50635" w:rsidRPr="00FC654E">
        <w:t xml:space="preserve"> the re-farming and reallocation of spectrum </w:t>
      </w:r>
      <w:r w:rsidR="008A199D">
        <w:t>from an existing use</w:t>
      </w:r>
      <w:r w:rsidR="00E3328B">
        <w:t xml:space="preserve"> and </w:t>
      </w:r>
      <w:r w:rsidR="008A199D">
        <w:t xml:space="preserve">users </w:t>
      </w:r>
      <w:r w:rsidR="00E41275">
        <w:t>to</w:t>
      </w:r>
      <w:r w:rsidR="00C50635" w:rsidRPr="00FC654E">
        <w:t xml:space="preserve"> different </w:t>
      </w:r>
      <w:r w:rsidR="00E3328B">
        <w:t xml:space="preserve">a </w:t>
      </w:r>
      <w:r w:rsidR="00C50635" w:rsidRPr="00FC654E">
        <w:t>use</w:t>
      </w:r>
      <w:r w:rsidR="00E3328B">
        <w:t xml:space="preserve"> and </w:t>
      </w:r>
      <w:r w:rsidR="008A199D">
        <w:t>users</w:t>
      </w:r>
    </w:p>
    <w:p w14:paraId="64D4BEB2" w14:textId="77777777" w:rsidR="00C50635" w:rsidRPr="00FC654E" w:rsidRDefault="00B43510" w:rsidP="005759E7">
      <w:pPr>
        <w:pStyle w:val="ListBulletLast"/>
      </w:pPr>
      <w:r>
        <w:t>o</w:t>
      </w:r>
      <w:r w:rsidR="00C50635" w:rsidRPr="00FC654E">
        <w:t>ptimising</w:t>
      </w:r>
      <w:r w:rsidR="00C50635" w:rsidRPr="00FC654E" w:rsidDel="008A199D">
        <w:t xml:space="preserve"> </w:t>
      </w:r>
      <w:r w:rsidR="008A199D">
        <w:t>established</w:t>
      </w:r>
      <w:r w:rsidR="008A199D" w:rsidRPr="00FC654E">
        <w:t xml:space="preserve"> </w:t>
      </w:r>
      <w:r w:rsidR="00E41275">
        <w:t xml:space="preserve">planning </w:t>
      </w:r>
      <w:r w:rsidR="00C50635" w:rsidRPr="00FC654E">
        <w:t xml:space="preserve">frameworks </w:t>
      </w:r>
      <w:r w:rsidR="008A199D">
        <w:t xml:space="preserve">for existing spectrum use </w:t>
      </w:r>
      <w:r w:rsidR="00C50635" w:rsidRPr="00FC654E">
        <w:t>through updating technical coordination arrangements</w:t>
      </w:r>
      <w:r w:rsidR="00E3328B">
        <w:t xml:space="preserve">. This can include </w:t>
      </w:r>
      <w:r w:rsidR="00C50635" w:rsidRPr="00FC654E">
        <w:t xml:space="preserve">addressing sharing demands, defragmentation and optimising </w:t>
      </w:r>
      <w:r w:rsidR="00E3328B">
        <w:t xml:space="preserve">planning </w:t>
      </w:r>
      <w:r w:rsidR="00C50635" w:rsidRPr="00FC654E">
        <w:t>configurations.</w:t>
      </w:r>
    </w:p>
    <w:p w14:paraId="50A493FF" w14:textId="77777777" w:rsidR="00C50635" w:rsidRDefault="00C50635" w:rsidP="00530A2E">
      <w:r>
        <w:t>Earlier in the FYSO</w:t>
      </w:r>
      <w:r w:rsidR="005435F9">
        <w:t>,</w:t>
      </w:r>
      <w:r>
        <w:t xml:space="preserve"> we outlined the various pressures occurring in the market, technology and policy environment that are influencing demand for spectrum and informing the ACMA’s approach to spectrum management.</w:t>
      </w:r>
    </w:p>
    <w:p w14:paraId="54CE759A" w14:textId="77777777" w:rsidR="00C50635" w:rsidRDefault="00C50635" w:rsidP="007916F4">
      <w:r>
        <w:t>Planning is informed by</w:t>
      </w:r>
      <w:r w:rsidDel="00A56174">
        <w:t xml:space="preserve"> </w:t>
      </w:r>
      <w:r>
        <w:t xml:space="preserve">domestic and international demand for spectrum uses, developments in international spectrum harmonisation and technology standardisation paths, and </w:t>
      </w:r>
      <w:r w:rsidR="000F1900">
        <w:t>evolution of</w:t>
      </w:r>
      <w:r>
        <w:t xml:space="preserve"> communications technology. The planning information included in the annual work program reflects expected developments over a </w:t>
      </w:r>
      <w:r w:rsidDel="00AA40BB">
        <w:t>five</w:t>
      </w:r>
      <w:r>
        <w:t>-year time</w:t>
      </w:r>
      <w:r w:rsidR="005435F9">
        <w:t xml:space="preserve"> </w:t>
      </w:r>
      <w:r>
        <w:t>frame. Specific planning activity intended to be conducted during the 2018</w:t>
      </w:r>
      <w:r w:rsidR="005435F9">
        <w:t>–</w:t>
      </w:r>
      <w:r>
        <w:t>19 financial year is also highlighted.</w:t>
      </w:r>
    </w:p>
    <w:p w14:paraId="0F82783B" w14:textId="77777777" w:rsidR="00C50635" w:rsidRPr="005759E7" w:rsidRDefault="00F97D59" w:rsidP="0068779F">
      <w:pPr>
        <w:pStyle w:val="Heading2"/>
        <w:rPr>
          <w:rStyle w:val="Heading2Char"/>
          <w:b/>
          <w:bCs/>
          <w:iCs/>
        </w:rPr>
      </w:pPr>
      <w:bookmarkStart w:id="213" w:name="_Toc511716279"/>
      <w:bookmarkStart w:id="214" w:name="_Toc511719090"/>
      <w:bookmarkStart w:id="215" w:name="_Toc522794085"/>
      <w:bookmarkStart w:id="216" w:name="_Toc524517091"/>
      <w:bookmarkStart w:id="217" w:name="_Toc509844720"/>
      <w:bookmarkStart w:id="218" w:name="_Toc510795077"/>
      <w:r w:rsidRPr="005759E7">
        <w:rPr>
          <w:rStyle w:val="Heading2Char"/>
          <w:b/>
          <w:bCs/>
          <w:iCs/>
        </w:rPr>
        <w:t>Major band (re)planning activities</w:t>
      </w:r>
      <w:bookmarkEnd w:id="213"/>
      <w:bookmarkEnd w:id="214"/>
      <w:bookmarkEnd w:id="215"/>
      <w:bookmarkEnd w:id="216"/>
      <w:r w:rsidRPr="005759E7">
        <w:rPr>
          <w:rStyle w:val="Heading2Char"/>
          <w:b/>
          <w:bCs/>
          <w:iCs/>
        </w:rPr>
        <w:t xml:space="preserve"> </w:t>
      </w:r>
      <w:bookmarkEnd w:id="217"/>
      <w:bookmarkEnd w:id="218"/>
    </w:p>
    <w:p w14:paraId="1B4B1666" w14:textId="77777777" w:rsidR="00F97D59" w:rsidRDefault="00C50635">
      <w:r w:rsidRPr="00D169BA">
        <w:t xml:space="preserve">This section of the FYSO provides an overview of </w:t>
      </w:r>
      <w:r w:rsidR="005435F9">
        <w:t xml:space="preserve">the ACMA’s </w:t>
      </w:r>
      <w:r>
        <w:t>work in</w:t>
      </w:r>
      <w:r w:rsidRPr="00D169BA">
        <w:t xml:space="preserve"> establish</w:t>
      </w:r>
      <w:r w:rsidR="005435F9">
        <w:t xml:space="preserve">ing </w:t>
      </w:r>
      <w:r w:rsidRPr="00D169BA">
        <w:t>new planning frameworks</w:t>
      </w:r>
      <w:r w:rsidR="008A199D">
        <w:t xml:space="preserve">, including </w:t>
      </w:r>
      <w:r w:rsidRPr="00D169BA">
        <w:t xml:space="preserve">for re-farming and reallocation. </w:t>
      </w:r>
      <w:r w:rsidR="00987648">
        <w:t>As</w:t>
      </w:r>
      <w:r w:rsidR="00987648" w:rsidDel="00F97D59">
        <w:t xml:space="preserve"> </w:t>
      </w:r>
      <w:r w:rsidR="00987648">
        <w:t>broadband is not the only driver of potential changes in the optimal use or uses of bands, the section</w:t>
      </w:r>
      <w:r w:rsidRPr="00D169BA">
        <w:t xml:space="preserve"> also provides information about other </w:t>
      </w:r>
      <w:r w:rsidR="00987648">
        <w:t xml:space="preserve">major band replanning activities. </w:t>
      </w:r>
      <w:r w:rsidR="00922BC2">
        <w:t xml:space="preserve">Readers interested in the price-based allocation of spectrum resulting from major band re-planning activities should </w:t>
      </w:r>
      <w:r w:rsidR="00F35B00">
        <w:t>turn</w:t>
      </w:r>
      <w:r w:rsidR="00AE04D3">
        <w:t xml:space="preserve"> </w:t>
      </w:r>
      <w:r w:rsidR="00922BC2">
        <w:t xml:space="preserve">to the next chapter, which deals with the ACMA’s forward allocation work plan. </w:t>
      </w:r>
    </w:p>
    <w:p w14:paraId="2AA70BEA" w14:textId="77777777" w:rsidR="004B3010" w:rsidRPr="00896CB6" w:rsidRDefault="00F97D59" w:rsidP="005759E7">
      <w:pPr>
        <w:spacing w:after="80"/>
      </w:pPr>
      <w:r>
        <w:t>B</w:t>
      </w:r>
      <w:r w:rsidR="00987648">
        <w:t xml:space="preserve">ands </w:t>
      </w:r>
      <w:r>
        <w:t xml:space="preserve">listed </w:t>
      </w:r>
      <w:r w:rsidR="00987648">
        <w:t>are categorised as follows</w:t>
      </w:r>
      <w:r w:rsidR="00C50635" w:rsidRPr="00D169BA">
        <w:t xml:space="preserve">: </w:t>
      </w:r>
    </w:p>
    <w:p w14:paraId="6580E713" w14:textId="77777777" w:rsidR="00361357" w:rsidRDefault="005A4DAE" w:rsidP="00FB338B">
      <w:pPr>
        <w:pStyle w:val="ListBullet2"/>
        <w:numPr>
          <w:ilvl w:val="0"/>
          <w:numId w:val="33"/>
        </w:numPr>
      </w:pPr>
      <w:r w:rsidRPr="00530A2E">
        <w:rPr>
          <w:b/>
        </w:rPr>
        <w:t>Monitoring</w:t>
      </w:r>
      <w:r w:rsidR="005435F9">
        <w:t>—</w:t>
      </w:r>
      <w:r w:rsidRPr="005A4DAE">
        <w:rPr>
          <w:rFonts w:eastAsia="Calibri"/>
        </w:rPr>
        <w:t xml:space="preserve">Business-as-usual monitoring of international and domestic spectrum usage trends. </w:t>
      </w:r>
      <w:r w:rsidRPr="008D5491">
        <w:t>At this stage, the ACMA maintains an awareness of developments and interest in potential changes to the use of the band that may require substantial planning activities. There is no direct action required by stakeholders at this stage, however</w:t>
      </w:r>
      <w:r w:rsidR="005435F9">
        <w:t>,</w:t>
      </w:r>
      <w:r w:rsidRPr="008D5491">
        <w:t xml:space="preserve"> there is an opportunity for stakeholders to keep the ACMA appraised of relevant developments and issues. </w:t>
      </w:r>
    </w:p>
    <w:p w14:paraId="1D2DA04B" w14:textId="77777777" w:rsidR="005A4DAE" w:rsidRDefault="005A4DAE" w:rsidP="001D3119">
      <w:pPr>
        <w:pStyle w:val="ListBullet2"/>
        <w:ind w:left="360" w:firstLine="0"/>
      </w:pPr>
      <w:r w:rsidRPr="008D5491">
        <w:t>In general, the ACMA sees bands and issues included at the monitoring stage as representing potential work items beyond its immediate 12</w:t>
      </w:r>
      <w:r w:rsidR="005435F9">
        <w:t>-</w:t>
      </w:r>
      <w:r w:rsidRPr="008D5491">
        <w:t xml:space="preserve">month </w:t>
      </w:r>
      <w:r w:rsidR="00BA6010">
        <w:t>work program</w:t>
      </w:r>
      <w:r w:rsidR="00CE36AE">
        <w:t>.</w:t>
      </w:r>
    </w:p>
    <w:p w14:paraId="7A6B0F4C" w14:textId="77777777" w:rsidR="00C50635" w:rsidRPr="00D169BA" w:rsidRDefault="00C50635" w:rsidP="00FB338B">
      <w:pPr>
        <w:pStyle w:val="ListBullet2"/>
        <w:numPr>
          <w:ilvl w:val="0"/>
          <w:numId w:val="33"/>
        </w:numPr>
      </w:pPr>
      <w:r w:rsidRPr="00EB57F6" w:rsidDel="00275EDA">
        <w:rPr>
          <w:b/>
        </w:rPr>
        <w:t>I</w:t>
      </w:r>
      <w:r w:rsidRPr="00EB57F6">
        <w:rPr>
          <w:b/>
        </w:rPr>
        <w:t>nitial investigation</w:t>
      </w:r>
      <w:r w:rsidR="005435F9">
        <w:t>—</w:t>
      </w:r>
      <w:r w:rsidRPr="00D169BA">
        <w:t xml:space="preserve">Initial investigation and scoping of potential </w:t>
      </w:r>
      <w:r w:rsidRPr="00896CB6">
        <w:t>options</w:t>
      </w:r>
      <w:r w:rsidRPr="00D169BA">
        <w:t xml:space="preserve"> for domestic </w:t>
      </w:r>
      <w:r w:rsidR="008A199D">
        <w:t xml:space="preserve">replanning </w:t>
      </w:r>
      <w:r w:rsidRPr="00D169BA">
        <w:t>of a band</w:t>
      </w:r>
      <w:r w:rsidR="00F97D59">
        <w:t>. This stage normally include</w:t>
      </w:r>
      <w:r w:rsidR="0068779F">
        <w:t>s</w:t>
      </w:r>
      <w:r w:rsidR="00F97D59">
        <w:t xml:space="preserve"> </w:t>
      </w:r>
      <w:r w:rsidR="00442798">
        <w:t xml:space="preserve">initial consideration </w:t>
      </w:r>
      <w:r w:rsidR="0068779F">
        <w:t>of</w:t>
      </w:r>
      <w:r w:rsidR="00442798">
        <w:t xml:space="preserve"> </w:t>
      </w:r>
      <w:r w:rsidR="00442798">
        <w:lastRenderedPageBreak/>
        <w:t>whether the new spectrum use contributes to maximising the overall public benefit derived from use of the spectrum</w:t>
      </w:r>
      <w:r w:rsidR="005435F9">
        <w:t>,</w:t>
      </w:r>
      <w:r w:rsidR="00442798">
        <w:t xml:space="preserve"> along with </w:t>
      </w:r>
      <w:r w:rsidRPr="00D169BA">
        <w:t>preliminary assessment</w:t>
      </w:r>
      <w:r w:rsidR="00F97D59">
        <w:t>s on coexistence and other technical considerations. Formal public consultation may occur through mechanisms such as public industry meetings (</w:t>
      </w:r>
      <w:r w:rsidR="005435F9">
        <w:t>such as</w:t>
      </w:r>
      <w:r w:rsidR="00F97D59">
        <w:t xml:space="preserve"> </w:t>
      </w:r>
      <w:r w:rsidR="005435F9">
        <w:t>s</w:t>
      </w:r>
      <w:r w:rsidR="00F97D59">
        <w:t xml:space="preserve">pectrum </w:t>
      </w:r>
      <w:r w:rsidR="005435F9">
        <w:t>t</w:t>
      </w:r>
      <w:r w:rsidR="00F97D59">
        <w:t>une-ups) and/or discussion papers</w:t>
      </w:r>
      <w:r w:rsidR="00324848">
        <w:t xml:space="preserve"> where general feedback on issues </w:t>
      </w:r>
      <w:r w:rsidR="005435F9">
        <w:t xml:space="preserve">is </w:t>
      </w:r>
      <w:r w:rsidR="00442798">
        <w:t>sought</w:t>
      </w:r>
      <w:r w:rsidRPr="00D169BA" w:rsidDel="00F97D59">
        <w:t>.</w:t>
      </w:r>
      <w:r w:rsidR="00447762">
        <w:t xml:space="preserve"> </w:t>
      </w:r>
    </w:p>
    <w:p w14:paraId="7836BD55" w14:textId="77777777" w:rsidR="00C50635" w:rsidRDefault="00C50635" w:rsidP="00FB338B">
      <w:pPr>
        <w:pStyle w:val="ListBullet2"/>
        <w:numPr>
          <w:ilvl w:val="0"/>
          <w:numId w:val="33"/>
        </w:numPr>
      </w:pPr>
      <w:r w:rsidRPr="00EB57F6">
        <w:rPr>
          <w:b/>
        </w:rPr>
        <w:t>Preliminary replanning</w:t>
      </w:r>
      <w:r w:rsidR="005435F9">
        <w:t>—</w:t>
      </w:r>
      <w:r w:rsidRPr="00896CB6">
        <w:rPr>
          <w:rFonts w:eastAsia="Calibri"/>
        </w:rPr>
        <w:t xml:space="preserve">Identification of </w:t>
      </w:r>
      <w:r w:rsidR="00442798" w:rsidRPr="00896CB6">
        <w:rPr>
          <w:rFonts w:eastAsia="Calibri"/>
        </w:rPr>
        <w:t xml:space="preserve">detailed </w:t>
      </w:r>
      <w:r w:rsidRPr="00896CB6">
        <w:rPr>
          <w:rFonts w:eastAsia="Calibri"/>
        </w:rPr>
        <w:t>replanning</w:t>
      </w:r>
      <w:r w:rsidRPr="00896CB6" w:rsidDel="008A199D">
        <w:rPr>
          <w:rFonts w:eastAsia="Calibri"/>
        </w:rPr>
        <w:t xml:space="preserve"> </w:t>
      </w:r>
      <w:r w:rsidR="008A199D" w:rsidRPr="00896CB6">
        <w:rPr>
          <w:rFonts w:eastAsia="Calibri"/>
        </w:rPr>
        <w:t>proposals</w:t>
      </w:r>
      <w:r w:rsidR="00442798" w:rsidRPr="00896CB6">
        <w:rPr>
          <w:rFonts w:eastAsia="Calibri"/>
        </w:rPr>
        <w:t xml:space="preserve"> based on feedback received at the initial investigation stage</w:t>
      </w:r>
      <w:r w:rsidR="005435F9">
        <w:rPr>
          <w:rFonts w:eastAsia="Calibri"/>
        </w:rPr>
        <w:t>,</w:t>
      </w:r>
      <w:r w:rsidR="00442798" w:rsidRPr="00896CB6">
        <w:rPr>
          <w:rFonts w:eastAsia="Calibri"/>
        </w:rPr>
        <w:t xml:space="preserve"> along with a detailed consideration of the spectrum uses that would maximise the overall public benefit derived from the spectrum. Considerations </w:t>
      </w:r>
      <w:r w:rsidR="005435F9">
        <w:rPr>
          <w:rFonts w:eastAsia="Calibri"/>
        </w:rPr>
        <w:t>are</w:t>
      </w:r>
      <w:r w:rsidR="00442798" w:rsidRPr="00896CB6">
        <w:rPr>
          <w:rFonts w:eastAsia="Calibri"/>
        </w:rPr>
        <w:t xml:space="preserve"> informed by detailed technical coexistence studies and include development of draft, high</w:t>
      </w:r>
      <w:r w:rsidR="005435F9">
        <w:rPr>
          <w:rFonts w:eastAsia="Calibri"/>
        </w:rPr>
        <w:t>-</w:t>
      </w:r>
      <w:r w:rsidR="00442798" w:rsidRPr="00896CB6">
        <w:rPr>
          <w:rFonts w:eastAsia="Calibri"/>
        </w:rPr>
        <w:t xml:space="preserve">level technical planning frameworks. Analysis </w:t>
      </w:r>
      <w:r w:rsidR="005435F9">
        <w:rPr>
          <w:rFonts w:eastAsia="Calibri"/>
        </w:rPr>
        <w:t>is</w:t>
      </w:r>
      <w:r w:rsidR="00442798" w:rsidRPr="00896CB6">
        <w:rPr>
          <w:rFonts w:eastAsia="Calibri"/>
        </w:rPr>
        <w:t xml:space="preserve"> undertaken o</w:t>
      </w:r>
      <w:r w:rsidR="00501215" w:rsidRPr="00896CB6">
        <w:rPr>
          <w:rFonts w:eastAsia="Calibri"/>
        </w:rPr>
        <w:t>f</w:t>
      </w:r>
      <w:r w:rsidR="00442798" w:rsidRPr="00896CB6">
        <w:rPr>
          <w:rFonts w:eastAsia="Calibri"/>
        </w:rPr>
        <w:t xml:space="preserve"> ongoing incumbent spectrum needs and identification of any mitigations necessary to </w:t>
      </w:r>
      <w:r w:rsidRPr="00896CB6">
        <w:rPr>
          <w:rFonts w:eastAsia="Calibri"/>
        </w:rPr>
        <w:t xml:space="preserve">address </w:t>
      </w:r>
      <w:r w:rsidR="00442798" w:rsidRPr="00896CB6">
        <w:rPr>
          <w:rFonts w:eastAsia="Calibri"/>
        </w:rPr>
        <w:t xml:space="preserve">the impact potential </w:t>
      </w:r>
      <w:r w:rsidR="00442798" w:rsidRPr="005A4DAE">
        <w:rPr>
          <w:rFonts w:eastAsia="Calibri"/>
        </w:rPr>
        <w:t>changes</w:t>
      </w:r>
      <w:r w:rsidR="00442798" w:rsidRPr="00896CB6">
        <w:rPr>
          <w:rFonts w:eastAsia="Calibri"/>
        </w:rPr>
        <w:t xml:space="preserve"> in the planning environment may have on incumbent users.</w:t>
      </w:r>
      <w:r w:rsidR="0035288E" w:rsidRPr="00896CB6">
        <w:rPr>
          <w:rFonts w:eastAsia="Calibri"/>
        </w:rPr>
        <w:t xml:space="preserve"> </w:t>
      </w:r>
      <w:r w:rsidR="00501215">
        <w:t>Formal public consultation occur</w:t>
      </w:r>
      <w:r w:rsidR="005435F9">
        <w:t>s</w:t>
      </w:r>
      <w:r w:rsidR="00501215">
        <w:t xml:space="preserve"> through mechanisms </w:t>
      </w:r>
      <w:r w:rsidR="003F5274">
        <w:t xml:space="preserve">such as </w:t>
      </w:r>
      <w:r w:rsidR="00501215">
        <w:t>the development of an options paper</w:t>
      </w:r>
      <w:r w:rsidR="005435F9">
        <w:t>,</w:t>
      </w:r>
      <w:r w:rsidR="00501215">
        <w:t xml:space="preserve"> where detailed planning options are identified and feedback on</w:t>
      </w:r>
      <w:r w:rsidR="00501215">
        <w:rPr>
          <w:rFonts w:eastAsia="Calibri"/>
        </w:rPr>
        <w:t xml:space="preserve"> issues</w:t>
      </w:r>
      <w:r w:rsidR="00501215">
        <w:t xml:space="preserve"> </w:t>
      </w:r>
      <w:r w:rsidR="005435F9">
        <w:t xml:space="preserve">is </w:t>
      </w:r>
      <w:r w:rsidR="00501215">
        <w:t>sought.</w:t>
      </w:r>
      <w:r w:rsidR="00447762">
        <w:t xml:space="preserve"> </w:t>
      </w:r>
    </w:p>
    <w:p w14:paraId="670A6747" w14:textId="77777777" w:rsidR="00EB57F6" w:rsidRDefault="00EB57F6" w:rsidP="00FB338B">
      <w:pPr>
        <w:pStyle w:val="ListBullet2"/>
        <w:numPr>
          <w:ilvl w:val="0"/>
          <w:numId w:val="33"/>
        </w:numPr>
      </w:pPr>
      <w:r w:rsidRPr="005759E7">
        <w:rPr>
          <w:b/>
        </w:rPr>
        <w:t>Replanning</w:t>
      </w:r>
      <w:r w:rsidR="005435F9">
        <w:t>—R</w:t>
      </w:r>
      <w:r w:rsidRPr="00896CB6">
        <w:t xml:space="preserve">epresents the conclusion of the ACMA considerations and identifies planning outcomes expected to maximise the overall </w:t>
      </w:r>
      <w:r w:rsidRPr="005A4DAE">
        <w:t>public</w:t>
      </w:r>
      <w:r w:rsidR="0068779F">
        <w:t xml:space="preserve"> benefit</w:t>
      </w:r>
      <w:r w:rsidRPr="005A4DAE">
        <w:rPr>
          <w:rFonts w:eastAsia="Calibri"/>
        </w:rPr>
        <w:t>. This</w:t>
      </w:r>
      <w:r w:rsidRPr="00896CB6">
        <w:rPr>
          <w:rFonts w:eastAsia="Calibri"/>
        </w:rPr>
        <w:t xml:space="preserve"> include</w:t>
      </w:r>
      <w:r w:rsidR="0068779F">
        <w:rPr>
          <w:rFonts w:eastAsia="Calibri"/>
        </w:rPr>
        <w:t>s</w:t>
      </w:r>
      <w:r w:rsidRPr="00896CB6">
        <w:rPr>
          <w:rFonts w:eastAsia="Calibri"/>
        </w:rPr>
        <w:t xml:space="preserve"> further development of detailed technical planning frameworks (including further consultation where necessary). </w:t>
      </w:r>
      <w:r w:rsidRPr="005A4DAE">
        <w:rPr>
          <w:rFonts w:eastAsia="Calibri"/>
        </w:rPr>
        <w:t>Dependi</w:t>
      </w:r>
      <w:r>
        <w:rPr>
          <w:rFonts w:eastAsia="Calibri"/>
        </w:rPr>
        <w:t>ng</w:t>
      </w:r>
      <w:r w:rsidRPr="00896CB6">
        <w:rPr>
          <w:rFonts w:eastAsia="Calibri"/>
        </w:rPr>
        <w:t xml:space="preserve"> on </w:t>
      </w:r>
      <w:r w:rsidR="009D7F3D">
        <w:rPr>
          <w:rFonts w:eastAsia="Calibri"/>
        </w:rPr>
        <w:t xml:space="preserve">the </w:t>
      </w:r>
      <w:r w:rsidRPr="00896CB6">
        <w:rPr>
          <w:rFonts w:eastAsia="Calibri"/>
        </w:rPr>
        <w:t xml:space="preserve">nature of the existing use of the band, this stage could potentially lead to </w:t>
      </w:r>
      <w:r w:rsidRPr="00BB38F9">
        <w:rPr>
          <w:rFonts w:eastAsia="Calibri"/>
        </w:rPr>
        <w:t>re</w:t>
      </w:r>
      <w:r w:rsidR="00BB38F9" w:rsidRPr="00BB38F9">
        <w:rPr>
          <w:rFonts w:eastAsia="Calibri"/>
        </w:rPr>
        <w:noBreakHyphen/>
      </w:r>
      <w:r w:rsidRPr="00BB38F9">
        <w:rPr>
          <w:rFonts w:eastAsia="Calibri"/>
        </w:rPr>
        <w:t>farming/reallocation activities</w:t>
      </w:r>
      <w:r w:rsidRPr="00896CB6">
        <w:rPr>
          <w:rFonts w:eastAsia="Calibri"/>
        </w:rPr>
        <w:t xml:space="preserve">. Conclusions </w:t>
      </w:r>
      <w:r w:rsidR="00185D43">
        <w:rPr>
          <w:rFonts w:eastAsia="Calibri"/>
        </w:rPr>
        <w:t>from</w:t>
      </w:r>
      <w:r w:rsidR="00185D43" w:rsidRPr="00896CB6">
        <w:rPr>
          <w:rFonts w:eastAsia="Calibri"/>
        </w:rPr>
        <w:t xml:space="preserve"> </w:t>
      </w:r>
      <w:r w:rsidRPr="00896CB6">
        <w:rPr>
          <w:rFonts w:eastAsia="Calibri"/>
        </w:rPr>
        <w:t xml:space="preserve">the ACMA planning process </w:t>
      </w:r>
      <w:r w:rsidR="0068779F">
        <w:rPr>
          <w:rFonts w:eastAsia="Calibri"/>
        </w:rPr>
        <w:t>are</w:t>
      </w:r>
      <w:r w:rsidRPr="00896CB6">
        <w:rPr>
          <w:rFonts w:eastAsia="Calibri"/>
        </w:rPr>
        <w:t xml:space="preserve"> communicated in an outcomes paper that may include ACMA decisions on issues within its remit and/or identify preliminary dispositions on future activities subject to further legislative process (for example</w:t>
      </w:r>
      <w:r w:rsidR="0068779F">
        <w:rPr>
          <w:rFonts w:eastAsia="Calibri"/>
        </w:rPr>
        <w:t>,</w:t>
      </w:r>
      <w:r w:rsidRPr="00896CB6">
        <w:rPr>
          <w:rFonts w:eastAsia="Calibri"/>
        </w:rPr>
        <w:t xml:space="preserve"> decision or actions to be undertaken by the </w:t>
      </w:r>
      <w:r w:rsidR="0068779F">
        <w:rPr>
          <w:rFonts w:eastAsia="Calibri"/>
        </w:rPr>
        <w:t>m</w:t>
      </w:r>
      <w:r w:rsidRPr="00896CB6">
        <w:rPr>
          <w:rFonts w:eastAsia="Calibri"/>
        </w:rPr>
        <w:t>inister).</w:t>
      </w:r>
    </w:p>
    <w:p w14:paraId="1529034F" w14:textId="77777777" w:rsidR="00C50635" w:rsidRPr="005759E7" w:rsidRDefault="005F3D42" w:rsidP="0068779F">
      <w:pPr>
        <w:pStyle w:val="Heading2"/>
      </w:pPr>
      <w:bookmarkStart w:id="219" w:name="_Toc509844721"/>
      <w:bookmarkStart w:id="220" w:name="_Toc510795078"/>
      <w:bookmarkStart w:id="221" w:name="_Toc511716280"/>
      <w:bookmarkStart w:id="222" w:name="_Toc511719091"/>
      <w:bookmarkStart w:id="223" w:name="_Toc522794086"/>
      <w:bookmarkStart w:id="224" w:name="_Toc524517092"/>
      <w:r>
        <w:rPr>
          <w:noProof/>
        </w:rPr>
        <w:drawing>
          <wp:inline distT="0" distB="0" distL="0" distR="0" wp14:anchorId="03A94E28" wp14:editId="11280E87">
            <wp:extent cx="208800" cy="151200"/>
            <wp:effectExtent l="0" t="0" r="1270" b="1270"/>
            <wp:docPr id="23" name="Picture 23"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800" cy="151200"/>
                    </a:xfrm>
                    <a:prstGeom prst="rect">
                      <a:avLst/>
                    </a:prstGeom>
                    <a:noFill/>
                  </pic:spPr>
                </pic:pic>
              </a:graphicData>
            </a:graphic>
          </wp:inline>
        </w:drawing>
      </w:r>
      <w:r w:rsidR="00746F0C">
        <w:t xml:space="preserve"> </w:t>
      </w:r>
      <w:r w:rsidR="00C50635" w:rsidRPr="005759E7">
        <w:t xml:space="preserve">What has changed since </w:t>
      </w:r>
      <w:r w:rsidR="00A76060">
        <w:t>the draft</w:t>
      </w:r>
      <w:r w:rsidR="00C50635" w:rsidRPr="005759E7">
        <w:t xml:space="preserve"> FYSO</w:t>
      </w:r>
      <w:bookmarkEnd w:id="219"/>
      <w:bookmarkEnd w:id="220"/>
      <w:bookmarkEnd w:id="221"/>
      <w:bookmarkEnd w:id="222"/>
      <w:r w:rsidR="00DA7873">
        <w:t>?</w:t>
      </w:r>
      <w:bookmarkEnd w:id="223"/>
      <w:bookmarkEnd w:id="224"/>
    </w:p>
    <w:p w14:paraId="6170B27B" w14:textId="77777777" w:rsidR="00A76060" w:rsidRDefault="00C50635" w:rsidP="00EB57F6">
      <w:r>
        <w:t xml:space="preserve">Feedback received on </w:t>
      </w:r>
      <w:r w:rsidR="00A76060">
        <w:t>the draft</w:t>
      </w:r>
      <w:r>
        <w:t xml:space="preserve"> FYSO provided many suggestions for additional bands to be included in the ACMA’s planning work. </w:t>
      </w:r>
    </w:p>
    <w:p w14:paraId="3B7C0F25" w14:textId="77777777" w:rsidR="00A76060" w:rsidRDefault="00A76060" w:rsidP="001B1B7A">
      <w:pPr>
        <w:spacing w:after="80"/>
      </w:pPr>
      <w:r>
        <w:t>Key planning changes that the ACMA is intending to make include:</w:t>
      </w:r>
    </w:p>
    <w:p w14:paraId="215DDEF4" w14:textId="77777777" w:rsidR="00A4569B" w:rsidRPr="00964F02" w:rsidRDefault="00A4569B" w:rsidP="001B1B7A">
      <w:pPr>
        <w:pStyle w:val="ListBullet"/>
      </w:pPr>
      <w:r w:rsidRPr="00A4569B">
        <w:rPr>
          <w:b/>
        </w:rPr>
        <w:t>1.5 GHz</w:t>
      </w:r>
      <w:r w:rsidR="00315B33">
        <w:rPr>
          <w:b/>
        </w:rPr>
        <w:t>—</w:t>
      </w:r>
      <w:r w:rsidRPr="00315B33">
        <w:t>following</w:t>
      </w:r>
      <w:r>
        <w:t xml:space="preserve"> </w:t>
      </w:r>
      <w:r w:rsidR="00D0778B">
        <w:t xml:space="preserve">consideration of </w:t>
      </w:r>
      <w:r>
        <w:t>submission</w:t>
      </w:r>
      <w:r w:rsidR="00D0778B">
        <w:t>s</w:t>
      </w:r>
      <w:r>
        <w:t xml:space="preserve"> and request to prioriti</w:t>
      </w:r>
      <w:r w:rsidR="00151E99">
        <w:t>s</w:t>
      </w:r>
      <w:r>
        <w:t>e other work, the ACMA is deferring further consideration of 1.5</w:t>
      </w:r>
      <w:r w:rsidR="00CC2508">
        <w:t xml:space="preserve"> </w:t>
      </w:r>
      <w:r>
        <w:t xml:space="preserve">GHz matters until </w:t>
      </w:r>
      <w:r w:rsidR="000C5674">
        <w:t xml:space="preserve">Q3/Q4 </w:t>
      </w:r>
      <w:r w:rsidR="001E6AF5">
        <w:t>2019</w:t>
      </w:r>
      <w:r w:rsidR="00315B33">
        <w:t>–</w:t>
      </w:r>
      <w:r>
        <w:t>20.</w:t>
      </w:r>
    </w:p>
    <w:p w14:paraId="293EE852" w14:textId="77777777" w:rsidR="00A76060" w:rsidRPr="0014735E" w:rsidRDefault="00A76060" w:rsidP="001B1B7A">
      <w:pPr>
        <w:pStyle w:val="ListBullet"/>
        <w:rPr>
          <w:i/>
        </w:rPr>
      </w:pPr>
      <w:r w:rsidRPr="0014735E">
        <w:rPr>
          <w:b/>
        </w:rPr>
        <w:t>2</w:t>
      </w:r>
      <w:r w:rsidR="00D02662">
        <w:rPr>
          <w:b/>
        </w:rPr>
        <w:t xml:space="preserve"> </w:t>
      </w:r>
      <w:r w:rsidRPr="0014735E">
        <w:rPr>
          <w:b/>
        </w:rPr>
        <w:t>GHz</w:t>
      </w:r>
      <w:r w:rsidR="00315B33">
        <w:t>—</w:t>
      </w:r>
      <w:r>
        <w:t xml:space="preserve">a wide set of interested parties representing </w:t>
      </w:r>
      <w:r w:rsidRPr="008B1FCC">
        <w:t>satellite, point</w:t>
      </w:r>
      <w:r w:rsidR="00315B33">
        <w:t>-</w:t>
      </w:r>
      <w:r w:rsidRPr="008B1FCC">
        <w:t>to</w:t>
      </w:r>
      <w:r w:rsidR="00315B33">
        <w:t>-</w:t>
      </w:r>
      <w:r w:rsidRPr="008B1FCC">
        <w:t xml:space="preserve">multipoint, </w:t>
      </w:r>
      <w:r w:rsidRPr="006F7E0C">
        <w:t>television outside broadcasting</w:t>
      </w:r>
      <w:r>
        <w:t xml:space="preserve"> and mobile broadband spectrum users requested that the ACMA accelerate its planning work for this band over work on the 1.5 GHz band. The ACMA is intending to develop a paper </w:t>
      </w:r>
      <w:r w:rsidR="00A4569B">
        <w:t>seeking industry views on what technologies should be supported and re-planning considerations for release at the end of Q4</w:t>
      </w:r>
      <w:r>
        <w:t>.</w:t>
      </w:r>
    </w:p>
    <w:p w14:paraId="6D6355AC" w14:textId="77777777" w:rsidR="00A76060" w:rsidRDefault="00A76060" w:rsidP="001B1B7A">
      <w:pPr>
        <w:pStyle w:val="ListBullet"/>
      </w:pPr>
      <w:r w:rsidRPr="0014735E">
        <w:rPr>
          <w:b/>
        </w:rPr>
        <w:t>3.3</w:t>
      </w:r>
      <w:r w:rsidR="00315B33">
        <w:rPr>
          <w:b/>
        </w:rPr>
        <w:t>–</w:t>
      </w:r>
      <w:r w:rsidRPr="0014735E">
        <w:rPr>
          <w:b/>
        </w:rPr>
        <w:t>3.4 G</w:t>
      </w:r>
      <w:r w:rsidR="00A4569B">
        <w:rPr>
          <w:b/>
        </w:rPr>
        <w:t>H</w:t>
      </w:r>
      <w:r w:rsidRPr="0014735E">
        <w:rPr>
          <w:b/>
        </w:rPr>
        <w:t>z</w:t>
      </w:r>
      <w:r w:rsidR="00315B33">
        <w:t>—</w:t>
      </w:r>
      <w:r w:rsidR="00EC4994">
        <w:t xml:space="preserve">the ACMA </w:t>
      </w:r>
      <w:r w:rsidR="00EC4994" w:rsidRPr="00315B33">
        <w:t>may</w:t>
      </w:r>
      <w:r w:rsidR="00EC4994">
        <w:t xml:space="preserve"> examine potential sharing scenarios (geographic and temporal sharing) in response to feedback from a number of submitters suggesting further detailed planning work on Dynamic Spectrum Access sharing models.</w:t>
      </w:r>
    </w:p>
    <w:p w14:paraId="16DA970E" w14:textId="77777777" w:rsidR="00A76060" w:rsidRPr="00CD17DD" w:rsidRDefault="00A76060" w:rsidP="001B1B7A">
      <w:pPr>
        <w:pStyle w:val="ListBullet"/>
      </w:pPr>
      <w:r w:rsidRPr="00BF5FD2">
        <w:rPr>
          <w:b/>
        </w:rPr>
        <w:t>3.4</w:t>
      </w:r>
      <w:r w:rsidR="00315B33">
        <w:rPr>
          <w:b/>
        </w:rPr>
        <w:t>–</w:t>
      </w:r>
      <w:r w:rsidRPr="00BF5FD2">
        <w:rPr>
          <w:b/>
        </w:rPr>
        <w:t>3.5</w:t>
      </w:r>
      <w:r w:rsidR="00D02662">
        <w:rPr>
          <w:b/>
        </w:rPr>
        <w:t>75</w:t>
      </w:r>
      <w:r w:rsidRPr="00BF5FD2">
        <w:rPr>
          <w:b/>
        </w:rPr>
        <w:t xml:space="preserve"> GHz</w:t>
      </w:r>
      <w:r w:rsidR="00315B33">
        <w:t>—</w:t>
      </w:r>
      <w:r w:rsidR="00D42788">
        <w:t>submissions encouraged the ACMA to, a</w:t>
      </w:r>
      <w:r>
        <w:t>t the conclusion of the 3.6 GHz auction, consider optimising allocations</w:t>
      </w:r>
      <w:r w:rsidRPr="00123A51">
        <w:t xml:space="preserve"> across licensees</w:t>
      </w:r>
      <w:r>
        <w:t>’</w:t>
      </w:r>
      <w:r w:rsidRPr="00123A51">
        <w:t xml:space="preserve"> existing and newly acquired </w:t>
      </w:r>
      <w:r w:rsidRPr="00315B33">
        <w:t>spectrum</w:t>
      </w:r>
      <w:r w:rsidRPr="00123A51">
        <w:t xml:space="preserve"> holdings</w:t>
      </w:r>
      <w:r>
        <w:t xml:space="preserve">, which may include defragmentation and licence </w:t>
      </w:r>
      <w:r w:rsidRPr="00CD17DD">
        <w:t>conversion processes. The ACMA intends to issue a discussion paper on reconfiguration options in 3.4</w:t>
      </w:r>
      <w:r w:rsidR="00590573">
        <w:t>–</w:t>
      </w:r>
      <w:r w:rsidR="00D42788">
        <w:t>3.</w:t>
      </w:r>
      <w:r w:rsidRPr="00CD17DD">
        <w:t>5</w:t>
      </w:r>
      <w:r w:rsidR="00D02662">
        <w:t>75</w:t>
      </w:r>
      <w:r w:rsidRPr="00CD17DD">
        <w:t xml:space="preserve"> GHz band in Q3, following the conclusion of the 3.6 G</w:t>
      </w:r>
      <w:r>
        <w:t>H</w:t>
      </w:r>
      <w:r w:rsidRPr="00CD17DD">
        <w:t>z auction.</w:t>
      </w:r>
    </w:p>
    <w:p w14:paraId="5AE1B965" w14:textId="190A93A0" w:rsidR="00A76060" w:rsidRDefault="00A76060" w:rsidP="001B1B7A">
      <w:pPr>
        <w:pStyle w:val="ListBullet"/>
      </w:pPr>
      <w:r w:rsidRPr="00CD17DD">
        <w:rPr>
          <w:b/>
        </w:rPr>
        <w:t>3.7</w:t>
      </w:r>
      <w:r w:rsidR="00590573">
        <w:rPr>
          <w:b/>
        </w:rPr>
        <w:t>–</w:t>
      </w:r>
      <w:r w:rsidRPr="00CD17DD">
        <w:rPr>
          <w:b/>
        </w:rPr>
        <w:t>4.2 GHz</w:t>
      </w:r>
      <w:r w:rsidR="00590573">
        <w:t>—</w:t>
      </w:r>
      <w:r w:rsidRPr="00315B33">
        <w:t>interest</w:t>
      </w:r>
      <w:r>
        <w:t xml:space="preserve"> in accelerating planning work in these bands came from stakeholders. The ACMA notes </w:t>
      </w:r>
      <w:r w:rsidR="00791838">
        <w:t xml:space="preserve">that </w:t>
      </w:r>
      <w:r>
        <w:t>recent planning developments in other jurisdictions (UK and US) highlight growing interest internationally in the band</w:t>
      </w:r>
      <w:r w:rsidR="00365525">
        <w:t>,</w:t>
      </w:r>
      <w:r w:rsidR="00791838">
        <w:t xml:space="preserve"> but </w:t>
      </w:r>
      <w:r w:rsidR="00791838">
        <w:lastRenderedPageBreak/>
        <w:t xml:space="preserve">may also signal a </w:t>
      </w:r>
      <w:r w:rsidR="00056B79">
        <w:t xml:space="preserve">reduced focus on </w:t>
      </w:r>
      <w:r w:rsidR="00791838">
        <w:t xml:space="preserve">approaches that focus </w:t>
      </w:r>
      <w:r w:rsidR="00056B79">
        <w:t xml:space="preserve">mainly </w:t>
      </w:r>
      <w:r w:rsidR="00791838">
        <w:t>on potential re-farming of entire segments</w:t>
      </w:r>
      <w:r w:rsidR="00365525">
        <w:t>,</w:t>
      </w:r>
      <w:r w:rsidR="00791838">
        <w:t xml:space="preserve"> towards approaches where existing sharing arrangements are reviewed progressively in light of new use-cases. </w:t>
      </w:r>
      <w:r w:rsidR="00CB087E">
        <w:t>It is timely to discuss the significance of these developments for long</w:t>
      </w:r>
      <w:r w:rsidR="00365525">
        <w:t>-</w:t>
      </w:r>
      <w:r w:rsidR="00CB087E">
        <w:t>term arrangements in the 3700</w:t>
      </w:r>
      <w:r w:rsidR="00365525">
        <w:t>–</w:t>
      </w:r>
      <w:r w:rsidR="00CB087E">
        <w:t>4200 MHz band in Australia</w:t>
      </w:r>
      <w:r w:rsidR="00791838">
        <w:t xml:space="preserve">, taking account of the ongoing needs of existing users including fixed satellite and point-to-point. </w:t>
      </w:r>
      <w:r w:rsidR="00C50CD1">
        <w:t xml:space="preserve">This </w:t>
      </w:r>
      <w:r w:rsidR="00056B79">
        <w:t>should</w:t>
      </w:r>
      <w:r w:rsidR="00C50CD1">
        <w:t xml:space="preserve"> maximise the opportunity for a balanced outcome across all </w:t>
      </w:r>
      <w:r w:rsidR="00056B79">
        <w:t>sector</w:t>
      </w:r>
      <w:r w:rsidR="00C50CD1">
        <w:t>s</w:t>
      </w:r>
      <w:r w:rsidR="00056B79">
        <w:t>.</w:t>
      </w:r>
      <w:r w:rsidR="004E46B1">
        <w:t xml:space="preserve"> </w:t>
      </w:r>
      <w:r w:rsidR="00C401A8">
        <w:t>The ACMA is considering releasing a discussion paper in Q4.</w:t>
      </w:r>
    </w:p>
    <w:p w14:paraId="20923235" w14:textId="77777777" w:rsidR="00A76060" w:rsidRPr="00667020" w:rsidRDefault="00A76060" w:rsidP="001B1B7A">
      <w:pPr>
        <w:pStyle w:val="ListBullet"/>
      </w:pPr>
      <w:r w:rsidRPr="00667020">
        <w:rPr>
          <w:b/>
        </w:rPr>
        <w:t>26 GHz</w:t>
      </w:r>
      <w:r w:rsidR="00590573">
        <w:rPr>
          <w:b/>
        </w:rPr>
        <w:t>—</w:t>
      </w:r>
      <w:r>
        <w:t xml:space="preserve">The ACMA </w:t>
      </w:r>
      <w:r w:rsidRPr="00590573">
        <w:t>is</w:t>
      </w:r>
      <w:r>
        <w:t xml:space="preserve"> developing an options paper on band planning for release in Q1.</w:t>
      </w:r>
    </w:p>
    <w:p w14:paraId="239CDEEB" w14:textId="77777777" w:rsidR="00A76060" w:rsidRDefault="00A76060" w:rsidP="001B1B7A">
      <w:pPr>
        <w:pStyle w:val="ListBulletLast"/>
      </w:pPr>
      <w:r w:rsidRPr="00667020">
        <w:rPr>
          <w:b/>
        </w:rPr>
        <w:t>28 GHz</w:t>
      </w:r>
      <w:r w:rsidR="00590573">
        <w:t>—</w:t>
      </w:r>
      <w:r>
        <w:t xml:space="preserve">The ACMA had proposed to release a technical rules paper looking at </w:t>
      </w:r>
      <w:r w:rsidRPr="006F7E0C">
        <w:t xml:space="preserve">PMP uses, but feedback identified a wider set of interests from satellite, 5G mobile broadband as well as </w:t>
      </w:r>
      <w:r w:rsidR="00C33176" w:rsidRPr="00A24446">
        <w:t>PMP</w:t>
      </w:r>
      <w:r w:rsidRPr="006F7E0C">
        <w:t xml:space="preserve"> uses</w:t>
      </w:r>
      <w:r>
        <w:t xml:space="preserve"> in the band. The ACMA expects to develop a discussion paper </w:t>
      </w:r>
      <w:r w:rsidR="00887EB0">
        <w:t>in parallel with</w:t>
      </w:r>
      <w:r>
        <w:t xml:space="preserve"> the 26 GHz work</w:t>
      </w:r>
      <w:r w:rsidR="00633005">
        <w:t xml:space="preserve"> in Q1</w:t>
      </w:r>
      <w:r w:rsidDel="00633005">
        <w:t>.</w:t>
      </w:r>
    </w:p>
    <w:p w14:paraId="542091AC" w14:textId="77777777" w:rsidR="00011B67" w:rsidRDefault="006A7EB2" w:rsidP="00590573">
      <w:pPr>
        <w:pStyle w:val="Heading3"/>
      </w:pPr>
      <w:bookmarkStart w:id="225" w:name="_Toc522794087"/>
      <w:bookmarkStart w:id="226" w:name="_Toc524517093"/>
      <w:r>
        <w:t>Major re</w:t>
      </w:r>
      <w:bookmarkStart w:id="227" w:name="_Toc509844722"/>
      <w:r>
        <w:t>p</w:t>
      </w:r>
      <w:r w:rsidR="00C50635">
        <w:t xml:space="preserve">lanning progress </w:t>
      </w:r>
      <w:r w:rsidR="00C50635" w:rsidRPr="00590573">
        <w:t>achieved</w:t>
      </w:r>
      <w:r w:rsidR="00C50635">
        <w:t xml:space="preserve"> since October </w:t>
      </w:r>
      <w:bookmarkEnd w:id="227"/>
      <w:r w:rsidR="00C50635">
        <w:t>2017</w:t>
      </w:r>
      <w:bookmarkEnd w:id="225"/>
      <w:bookmarkEnd w:id="226"/>
      <w:r w:rsidR="00B36722">
        <w:t xml:space="preserve"> </w:t>
      </w:r>
    </w:p>
    <w:p w14:paraId="00814516" w14:textId="77777777" w:rsidR="006A7EB2" w:rsidRDefault="006A7EB2" w:rsidP="00A24446">
      <w:pPr>
        <w:pStyle w:val="ListBullet"/>
        <w:keepNext/>
        <w:keepLines/>
      </w:pPr>
      <w:r w:rsidRPr="00113435">
        <w:rPr>
          <w:b/>
        </w:rPr>
        <w:t>900</w:t>
      </w:r>
      <w:r>
        <w:rPr>
          <w:b/>
        </w:rPr>
        <w:t xml:space="preserve"> </w:t>
      </w:r>
      <w:r w:rsidRPr="00113435">
        <w:rPr>
          <w:b/>
        </w:rPr>
        <w:t>MHz band</w:t>
      </w:r>
      <w:r w:rsidR="00590573">
        <w:t>—</w:t>
      </w:r>
      <w:r w:rsidR="0068779F">
        <w:t>In October 2017, t</w:t>
      </w:r>
      <w:r>
        <w:t>he ACMA released a paper setting out the preferred reconfiguration option for the 900 MHz (890–915/935–960 MHz) frequency band in order to transition from the current 2 x 8.2 or 8.4 MHz frequency arrangements to multiples of 2 x 5 MHz. The ACMA expects to firm up implementation time</w:t>
      </w:r>
      <w:r w:rsidR="0068779F">
        <w:t xml:space="preserve"> </w:t>
      </w:r>
      <w:r>
        <w:t xml:space="preserve">frames for the reconfiguration of the 900 MHz band during the year to </w:t>
      </w:r>
      <w:r w:rsidR="00A566E0">
        <w:t>optimise the band’s planning arrangements for LTE services</w:t>
      </w:r>
      <w:r>
        <w:t>.</w:t>
      </w:r>
    </w:p>
    <w:p w14:paraId="7A44090C" w14:textId="77777777" w:rsidR="006A7EB2" w:rsidRDefault="006A7EB2" w:rsidP="00A24446">
      <w:pPr>
        <w:pStyle w:val="ListBullet"/>
      </w:pPr>
      <w:r w:rsidRPr="00896CB6">
        <w:rPr>
          <w:b/>
        </w:rPr>
        <w:t xml:space="preserve">Cooperative intelligent transport systems (C-ITS) in the 5.9 GHz </w:t>
      </w:r>
      <w:r w:rsidR="0068779F">
        <w:rPr>
          <w:b/>
        </w:rPr>
        <w:t>b</w:t>
      </w:r>
      <w:r w:rsidRPr="00896CB6">
        <w:rPr>
          <w:b/>
        </w:rPr>
        <w:t>and</w:t>
      </w:r>
      <w:r w:rsidR="00590573">
        <w:t>—</w:t>
      </w:r>
      <w:r>
        <w:t xml:space="preserve">The ACMA finalised the Radiocommunications (Intelligent Transport Systems) Class Licence 2017 </w:t>
      </w:r>
      <w:r w:rsidR="0068779F">
        <w:t>in</w:t>
      </w:r>
      <w:r>
        <w:t xml:space="preserve"> December 2017</w:t>
      </w:r>
      <w:r w:rsidR="0068779F">
        <w:t xml:space="preserve"> and it was registered in</w:t>
      </w:r>
      <w:r>
        <w:t xml:space="preserve"> January 2018. The ACMA</w:t>
      </w:r>
      <w:r w:rsidR="0068779F">
        <w:t>,</w:t>
      </w:r>
      <w:r>
        <w:t xml:space="preserve"> therefore</w:t>
      </w:r>
      <w:r w:rsidR="0068779F">
        <w:t>,</w:t>
      </w:r>
      <w:r>
        <w:t xml:space="preserve"> has no current plans to revisit these arrangements in the near term, but will continue to monitor the suitability of the regulatory regime</w:t>
      </w:r>
      <w:r w:rsidR="0068779F">
        <w:t>,</w:t>
      </w:r>
      <w:r>
        <w:t xml:space="preserve"> particularly in light of possible developments regarding V2X technologies. </w:t>
      </w:r>
    </w:p>
    <w:p w14:paraId="1F1C0A13" w14:textId="77777777" w:rsidR="00205F9D" w:rsidRPr="00590573" w:rsidRDefault="00C50635" w:rsidP="00A24446">
      <w:pPr>
        <w:pStyle w:val="ListBullet"/>
        <w:rPr>
          <w:rFonts w:cs="Arial"/>
          <w:szCs w:val="20"/>
        </w:rPr>
      </w:pPr>
      <w:r w:rsidRPr="009B0419" w:rsidDel="003755A0">
        <w:rPr>
          <w:b/>
        </w:rPr>
        <w:t>3.6 GHz band</w:t>
      </w:r>
      <w:r w:rsidR="00590573">
        <w:t>—</w:t>
      </w:r>
      <w:r w:rsidR="0068779F">
        <w:t xml:space="preserve">In </w:t>
      </w:r>
      <w:r w:rsidR="0068779F" w:rsidRPr="0068779F">
        <w:t>October</w:t>
      </w:r>
      <w:r w:rsidR="0068779F">
        <w:t xml:space="preserve"> 2017,</w:t>
      </w:r>
      <w:r w:rsidR="0068779F" w:rsidDel="00235E09">
        <w:t xml:space="preserve"> </w:t>
      </w:r>
      <w:r w:rsidR="0068779F">
        <w:t>t</w:t>
      </w:r>
      <w:r>
        <w:t xml:space="preserve">he ACMA </w:t>
      </w:r>
      <w:r w:rsidDel="003755A0">
        <w:t xml:space="preserve">announced </w:t>
      </w:r>
      <w:r>
        <w:t>the outcomes of the review of the 3.6 GHz frequency band. The decision confirmed that the frequency band be moved to the re-farming stage of the ACMA’s process for the consideration of additional spectrum for mobile broadband uses. In</w:t>
      </w:r>
      <w:r w:rsidR="00EF0223">
        <w:t xml:space="preserve"> </w:t>
      </w:r>
      <w:r>
        <w:t>March 2018</w:t>
      </w:r>
      <w:r w:rsidR="0068779F">
        <w:t>,</w:t>
      </w:r>
      <w:r>
        <w:t xml:space="preserve"> the Minister for Communications made a reallocation declaration for the 3.6 GHz frequency band</w:t>
      </w:r>
      <w:r w:rsidR="00C401A8">
        <w:t>, following a recommendation from the ACMA</w:t>
      </w:r>
      <w:r>
        <w:t>. The ACMA is now conducting relevant processes to allow the</w:t>
      </w:r>
      <w:r w:rsidDel="00512322">
        <w:t xml:space="preserve"> </w:t>
      </w:r>
      <w:r>
        <w:t>band to be</w:t>
      </w:r>
      <w:r w:rsidDel="00FD4255">
        <w:t xml:space="preserve"> </w:t>
      </w:r>
      <w:r>
        <w:t xml:space="preserve">available for the issue of spectrum licences in metropolitan and regional Australia. This includes the formation of a technical liaison group (TLG) from March to April 2018 to provide advice on </w:t>
      </w:r>
      <w:r w:rsidDel="00FD4255">
        <w:t xml:space="preserve">the </w:t>
      </w:r>
      <w:r>
        <w:t>3.6 GHz band spectrum licence technical framework.</w:t>
      </w:r>
      <w:r w:rsidR="00205F9D" w:rsidRPr="00590573">
        <w:rPr>
          <w:rFonts w:cs="Arial"/>
          <w:szCs w:val="20"/>
        </w:rPr>
        <w:t xml:space="preserve"> </w:t>
      </w:r>
    </w:p>
    <w:p w14:paraId="11BB2B89" w14:textId="77777777" w:rsidR="00C50635" w:rsidRDefault="00205F9D" w:rsidP="005759E7">
      <w:pPr>
        <w:pStyle w:val="ListBullet"/>
        <w:numPr>
          <w:ilvl w:val="0"/>
          <w:numId w:val="0"/>
        </w:numPr>
        <w:ind w:left="295"/>
      </w:pPr>
      <w:r w:rsidRPr="0027128C">
        <w:rPr>
          <w:rFonts w:cs="Arial"/>
          <w:szCs w:val="20"/>
        </w:rPr>
        <w:t>As part of the outcomes announced</w:t>
      </w:r>
      <w:r w:rsidR="00890F31">
        <w:rPr>
          <w:rFonts w:cs="Arial"/>
          <w:szCs w:val="20"/>
        </w:rPr>
        <w:t xml:space="preserve"> for the 3.6 GHz band</w:t>
      </w:r>
      <w:r>
        <w:rPr>
          <w:rFonts w:cs="Arial"/>
          <w:szCs w:val="20"/>
        </w:rPr>
        <w:t>,</w:t>
      </w:r>
      <w:r w:rsidRPr="0027128C">
        <w:rPr>
          <w:rFonts w:cs="Arial"/>
          <w:szCs w:val="20"/>
        </w:rPr>
        <w:t xml:space="preserve"> there were a number of mitigation measures identified for affected incumbent point-to-multipoint licensees. </w:t>
      </w:r>
      <w:r>
        <w:rPr>
          <w:rFonts w:cs="Arial"/>
          <w:szCs w:val="20"/>
        </w:rPr>
        <w:t>Th</w:t>
      </w:r>
      <w:r w:rsidRPr="0027128C">
        <w:rPr>
          <w:rFonts w:cs="Arial"/>
          <w:szCs w:val="20"/>
        </w:rPr>
        <w:t xml:space="preserve">e ACMA </w:t>
      </w:r>
      <w:r w:rsidR="001A42E7">
        <w:rPr>
          <w:rFonts w:cs="Arial"/>
          <w:szCs w:val="20"/>
        </w:rPr>
        <w:t>is progressing</w:t>
      </w:r>
      <w:r>
        <w:rPr>
          <w:rFonts w:cs="Arial"/>
          <w:szCs w:val="20"/>
        </w:rPr>
        <w:t xml:space="preserve"> planning work to </w:t>
      </w:r>
      <w:r w:rsidRPr="0027128C">
        <w:rPr>
          <w:rFonts w:cs="Arial"/>
          <w:szCs w:val="20"/>
        </w:rPr>
        <w:t xml:space="preserve">put in place a </w:t>
      </w:r>
      <w:r w:rsidRPr="0027128C">
        <w:rPr>
          <w:lang w:eastAsia="en-US"/>
        </w:rPr>
        <w:t xml:space="preserve">coordinated apparatus-licensed regime for site-based point-to-multipoint uses </w:t>
      </w:r>
      <w:r w:rsidRPr="0027128C">
        <w:rPr>
          <w:rFonts w:cs="Arial"/>
          <w:szCs w:val="20"/>
        </w:rPr>
        <w:t>outside of metropolitan areas in the 5.6 GHz band</w:t>
      </w:r>
      <w:r>
        <w:rPr>
          <w:rFonts w:cs="Arial"/>
          <w:szCs w:val="20"/>
        </w:rPr>
        <w:t xml:space="preserve"> and </w:t>
      </w:r>
      <w:r w:rsidR="00A16FF9">
        <w:rPr>
          <w:rFonts w:cs="Arial"/>
          <w:szCs w:val="20"/>
        </w:rPr>
        <w:t xml:space="preserve">is </w:t>
      </w:r>
      <w:r w:rsidR="003C19DC">
        <w:rPr>
          <w:rFonts w:cs="Arial"/>
          <w:szCs w:val="20"/>
        </w:rPr>
        <w:t>considering submission</w:t>
      </w:r>
      <w:r w:rsidR="00A16FF9">
        <w:rPr>
          <w:rFonts w:cs="Arial"/>
          <w:szCs w:val="20"/>
        </w:rPr>
        <w:t>s</w:t>
      </w:r>
      <w:r w:rsidR="003C19DC">
        <w:rPr>
          <w:rFonts w:cs="Arial"/>
          <w:szCs w:val="20"/>
        </w:rPr>
        <w:t xml:space="preserve"> to the </w:t>
      </w:r>
      <w:r>
        <w:rPr>
          <w:rFonts w:cs="Arial"/>
          <w:szCs w:val="20"/>
        </w:rPr>
        <w:t>consult</w:t>
      </w:r>
      <w:r w:rsidR="003C19DC">
        <w:rPr>
          <w:rFonts w:cs="Arial"/>
          <w:szCs w:val="20"/>
        </w:rPr>
        <w:t>ation</w:t>
      </w:r>
      <w:r>
        <w:rPr>
          <w:rFonts w:cs="Arial"/>
          <w:szCs w:val="20"/>
        </w:rPr>
        <w:t xml:space="preserve"> on the planning arrangements.</w:t>
      </w:r>
    </w:p>
    <w:p w14:paraId="5481D5D3" w14:textId="77777777" w:rsidR="0068779F" w:rsidRDefault="00C50635" w:rsidP="00EE6120">
      <w:pPr>
        <w:pStyle w:val="ListBullet"/>
        <w:spacing w:after="240"/>
      </w:pPr>
      <w:r w:rsidRPr="006F7E0C">
        <w:rPr>
          <w:b/>
        </w:rPr>
        <w:t>mmWave</w:t>
      </w:r>
      <w:r w:rsidRPr="005759E7">
        <w:rPr>
          <w:b/>
        </w:rPr>
        <w:t xml:space="preserve"> spectrum for 5G</w:t>
      </w:r>
      <w:r w:rsidR="00590573">
        <w:rPr>
          <w:b/>
        </w:rPr>
        <w:t>—</w:t>
      </w:r>
      <w:r w:rsidR="006A7EB2">
        <w:t>A</w:t>
      </w:r>
      <w:r w:rsidDel="006A7EB2">
        <w:t xml:space="preserve"> </w:t>
      </w:r>
      <w:r w:rsidR="0068779F">
        <w:t>s</w:t>
      </w:r>
      <w:r w:rsidR="006A7EB2">
        <w:t xml:space="preserve">pectrum </w:t>
      </w:r>
      <w:r w:rsidR="0068779F">
        <w:t>t</w:t>
      </w:r>
      <w:r w:rsidR="006A7EB2">
        <w:t>une-</w:t>
      </w:r>
      <w:r w:rsidR="0068779F">
        <w:t>u</w:t>
      </w:r>
      <w:r w:rsidR="006A7EB2">
        <w:t>p</w:t>
      </w:r>
      <w:r w:rsidR="0068779F">
        <w:t>,</w:t>
      </w:r>
      <w:r w:rsidR="006A7EB2">
        <w:t xml:space="preserve"> </w:t>
      </w:r>
      <w:r w:rsidR="0068779F">
        <w:t>‘</w:t>
      </w:r>
      <w:r w:rsidR="006A7EB2" w:rsidRPr="0068779F">
        <w:t>Spectrum for 5G broadband in mmWave bands</w:t>
      </w:r>
      <w:r w:rsidR="0068779F">
        <w:t>’</w:t>
      </w:r>
      <w:r w:rsidR="006A7EB2">
        <w:t xml:space="preserve"> was held in September 2017. Following this</w:t>
      </w:r>
      <w:r w:rsidR="0068779F">
        <w:t>,</w:t>
      </w:r>
      <w:r w:rsidR="006A7EB2">
        <w:t xml:space="preserve"> in October 2017</w:t>
      </w:r>
      <w:r w:rsidR="0068779F">
        <w:t>,</w:t>
      </w:r>
      <w:r w:rsidR="006A7EB2">
        <w:t xml:space="preserve"> a number of questions were asked regarding</w:t>
      </w:r>
      <w:r>
        <w:t xml:space="preserve"> potential licensing and frequency/area allocation options for the 24.25</w:t>
      </w:r>
      <w:r w:rsidR="0068779F">
        <w:t>–</w:t>
      </w:r>
      <w:r>
        <w:t>27.5 GHz frequency band.</w:t>
      </w:r>
    </w:p>
    <w:p w14:paraId="13F4DC31" w14:textId="70A362A7" w:rsidR="00F46EA9" w:rsidRDefault="00294C5C" w:rsidP="002E32BA">
      <w:pPr>
        <w:pStyle w:val="ACMATableHeader"/>
        <w:keepNext/>
      </w:pPr>
      <w:bookmarkStart w:id="228" w:name="_Toc510104946"/>
      <w:bookmarkStart w:id="229" w:name="_Toc510105743"/>
      <w:r>
        <w:lastRenderedPageBreak/>
        <w:t>Monitoring</w:t>
      </w:r>
      <w:bookmarkEnd w:id="228"/>
      <w:bookmarkEnd w:id="229"/>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413"/>
        <w:gridCol w:w="4819"/>
        <w:gridCol w:w="1429"/>
      </w:tblGrid>
      <w:tr w:rsidR="00F03207" w14:paraId="3BCA59C9" w14:textId="77777777" w:rsidTr="00EE6120">
        <w:trPr>
          <w:tblHeader/>
        </w:trPr>
        <w:tc>
          <w:tcPr>
            <w:tcW w:w="1413" w:type="dxa"/>
            <w:shd w:val="clear" w:color="auto" w:fill="404040" w:themeFill="text1" w:themeFillTint="BF"/>
          </w:tcPr>
          <w:p w14:paraId="187C0BBC" w14:textId="47053EA3" w:rsidR="00F03207" w:rsidRPr="00F03207" w:rsidRDefault="00F03207" w:rsidP="00EE6120">
            <w:pPr>
              <w:spacing w:after="0"/>
              <w:rPr>
                <w:b/>
              </w:rPr>
            </w:pPr>
            <w:r w:rsidRPr="00F03207">
              <w:rPr>
                <w:b/>
                <w:color w:val="FFFFFF" w:themeColor="background1"/>
              </w:rPr>
              <w:t>Key projects</w:t>
            </w:r>
          </w:p>
        </w:tc>
        <w:tc>
          <w:tcPr>
            <w:tcW w:w="4819" w:type="dxa"/>
            <w:shd w:val="clear" w:color="auto" w:fill="404040" w:themeFill="text1" w:themeFillTint="BF"/>
          </w:tcPr>
          <w:p w14:paraId="69DAF673" w14:textId="2F40D5BF" w:rsidR="00F03207" w:rsidRPr="00F03207" w:rsidRDefault="00F03207" w:rsidP="00EE6120">
            <w:pPr>
              <w:spacing w:after="0"/>
              <w:rPr>
                <w:b/>
              </w:rPr>
            </w:pPr>
            <w:r w:rsidRPr="00F03207">
              <w:rPr>
                <w:b/>
                <w:color w:val="FFFFFF" w:themeColor="background1"/>
              </w:rPr>
              <w:t>Activity</w:t>
            </w:r>
          </w:p>
        </w:tc>
        <w:tc>
          <w:tcPr>
            <w:tcW w:w="1429" w:type="dxa"/>
            <w:shd w:val="clear" w:color="auto" w:fill="404040" w:themeFill="text1" w:themeFillTint="BF"/>
          </w:tcPr>
          <w:p w14:paraId="102D7ABD" w14:textId="6554D4C1" w:rsidR="00F03207" w:rsidRPr="00F03207" w:rsidRDefault="00F03207" w:rsidP="00EE6120">
            <w:pPr>
              <w:spacing w:after="0"/>
              <w:rPr>
                <w:b/>
              </w:rPr>
            </w:pPr>
            <w:r w:rsidRPr="00F03207">
              <w:rPr>
                <w:b/>
                <w:color w:val="FFFFFF" w:themeColor="background1"/>
              </w:rPr>
              <w:t>Milestones</w:t>
            </w:r>
          </w:p>
        </w:tc>
      </w:tr>
      <w:tr w:rsidR="00B747E1" w14:paraId="49AEDA64" w14:textId="77777777" w:rsidTr="00EE6120">
        <w:tc>
          <w:tcPr>
            <w:tcW w:w="1413" w:type="dxa"/>
          </w:tcPr>
          <w:p w14:paraId="64018E73" w14:textId="77777777" w:rsidR="00B747E1" w:rsidRDefault="00B747E1" w:rsidP="00EE6120">
            <w:pPr>
              <w:spacing w:after="0" w:line="240" w:lineRule="auto"/>
            </w:pPr>
            <w:r w:rsidRPr="00467F32">
              <w:t>600 MHz</w:t>
            </w:r>
          </w:p>
          <w:p w14:paraId="5CE3458A" w14:textId="2AC2ADA4" w:rsidR="00B747E1" w:rsidRDefault="00B747E1" w:rsidP="00EE6120">
            <w:r w:rsidRPr="00C05934">
              <w:t>(617–698</w:t>
            </w:r>
            <w:r w:rsidRPr="001D3119">
              <w:rPr>
                <w:rStyle w:val="FootnoteReference"/>
              </w:rPr>
              <w:footnoteReference w:id="13"/>
            </w:r>
            <w:r w:rsidRPr="00C05934">
              <w:t xml:space="preserve"> </w:t>
            </w:r>
            <w:r w:rsidRPr="00467F32">
              <w:t>MHz)</w:t>
            </w:r>
          </w:p>
        </w:tc>
        <w:tc>
          <w:tcPr>
            <w:tcW w:w="4819" w:type="dxa"/>
          </w:tcPr>
          <w:p w14:paraId="63B01CF9" w14:textId="77777777" w:rsidR="00B747E1" w:rsidRPr="00964F02" w:rsidRDefault="00B747E1" w:rsidP="00EE6120">
            <w:pPr>
              <w:spacing w:after="120" w:line="240" w:lineRule="auto"/>
              <w:rPr>
                <w:rFonts w:cs="Arial"/>
                <w:szCs w:val="20"/>
              </w:rPr>
            </w:pPr>
            <w:r w:rsidRPr="00964F02">
              <w:rPr>
                <w:rFonts w:cs="Arial"/>
                <w:szCs w:val="20"/>
              </w:rPr>
              <w:t xml:space="preserve">The 600 MHz band is currently used by digital television services in Australia and is available for some services under the </w:t>
            </w:r>
            <w:hyperlink r:id="rId30" w:history="1">
              <w:r w:rsidRPr="00964F02">
                <w:rPr>
                  <w:rStyle w:val="Hyperlink"/>
                  <w:rFonts w:eastAsiaTheme="majorEastAsia" w:cs="Arial"/>
                  <w:szCs w:val="20"/>
                </w:rPr>
                <w:t>Radiocommunications (Low Interference Potential Devices) Class Licence 2015</w:t>
              </w:r>
            </w:hyperlink>
            <w:r w:rsidRPr="00964F02">
              <w:rPr>
                <w:rFonts w:cs="Arial"/>
                <w:szCs w:val="20"/>
              </w:rPr>
              <w:t xml:space="preserve">. </w:t>
            </w:r>
          </w:p>
          <w:p w14:paraId="76547B28" w14:textId="77777777" w:rsidR="00B747E1" w:rsidRDefault="00B747E1" w:rsidP="00EE6120">
            <w:pPr>
              <w:spacing w:after="120" w:line="240" w:lineRule="auto"/>
            </w:pPr>
            <w:r>
              <w:t>Monitoring of this band is consistent with the Australian Government’s interest in considering the long-term availability of the television ‘sixth channel’ for non-broadcasting uses.</w:t>
            </w:r>
            <w:r w:rsidRPr="00964F02">
              <w:rPr>
                <w:rStyle w:val="FootnoteReference"/>
                <w:szCs w:val="20"/>
              </w:rPr>
              <w:footnoteReference w:id="14"/>
            </w:r>
            <w:r>
              <w:t xml:space="preserve"> </w:t>
            </w:r>
          </w:p>
          <w:p w14:paraId="2205B3A8" w14:textId="77777777" w:rsidR="00B747E1" w:rsidRPr="00964F02" w:rsidRDefault="00B747E1" w:rsidP="00EE6120">
            <w:pPr>
              <w:spacing w:line="240" w:lineRule="auto"/>
              <w:rPr>
                <w:rFonts w:cs="Arial"/>
                <w:szCs w:val="20"/>
              </w:rPr>
            </w:pPr>
            <w:r w:rsidRPr="00201FB7">
              <w:t>It could also support scenarios in which national broadcasting services were consolidated onto a single multiplex in each area, potentially freeing up an additional channel for broadcasting or other uses.</w:t>
            </w:r>
            <w:r>
              <w:t xml:space="preserve"> Current TV channel arrangements include spectrum both inside and outside of the 600 MHz band and would require a further re-stack (sometimes referred to as a ‘second digital dividend’) to yield a contiguous block of spectrum in the 600 MHz range. The </w:t>
            </w:r>
            <w:r w:rsidRPr="00214E77">
              <w:t>sixth channel</w:t>
            </w:r>
            <w:r>
              <w:t xml:space="preserve"> is currently available for trials of more advanced digital television technology. There are no current government or industry plans for technical standards migration of television or the reconfiguration of TV channels.  </w:t>
            </w:r>
          </w:p>
          <w:p w14:paraId="4FC9ECE7" w14:textId="77777777" w:rsidR="00B747E1" w:rsidRDefault="00B747E1" w:rsidP="00EE6120">
            <w:pPr>
              <w:pStyle w:val="BodySubHeader"/>
            </w:pPr>
            <w:r>
              <w:t xml:space="preserve">Recent </w:t>
            </w:r>
            <w:r w:rsidRPr="00C404E9">
              <w:t>developments</w:t>
            </w:r>
          </w:p>
          <w:p w14:paraId="10922E97" w14:textId="77777777" w:rsidR="00B747E1" w:rsidRDefault="00B747E1" w:rsidP="00EE6120">
            <w:pPr>
              <w:spacing w:after="120" w:line="240" w:lineRule="auto"/>
              <w:rPr>
                <w:rFonts w:cs="Arial"/>
              </w:rPr>
            </w:pPr>
            <w:r>
              <w:rPr>
                <w:rFonts w:cs="Arial"/>
              </w:rPr>
              <w:t>The FCC incentive auction (which closed on 30 March 2017) resulted in a repurposing of 84 MHz of spectrum—70 MHz for licensed use and another 14 MHz for wireless microphones and unlicensed use.</w:t>
            </w:r>
            <w:r>
              <w:rPr>
                <w:rStyle w:val="FootnoteReference"/>
              </w:rPr>
              <w:footnoteReference w:id="15"/>
            </w:r>
            <w:r>
              <w:rPr>
                <w:rFonts w:cs="Arial"/>
              </w:rPr>
              <w:t xml:space="preserve"> </w:t>
            </w:r>
          </w:p>
          <w:p w14:paraId="53121412" w14:textId="77777777" w:rsidR="00B747E1" w:rsidRDefault="00B747E1" w:rsidP="00EE6120">
            <w:pPr>
              <w:spacing w:after="120" w:line="240" w:lineRule="auto"/>
            </w:pPr>
            <w:r>
              <w:t xml:space="preserve">In addition, the Radio Spectrum Policy Group (RSPG) of the European Commission (EC) has also provided a </w:t>
            </w:r>
            <w:hyperlink r:id="rId31" w:history="1">
              <w:r>
                <w:rPr>
                  <w:rStyle w:val="Hyperlink"/>
                  <w:rFonts w:eastAsiaTheme="majorEastAsia" w:cs="Arial"/>
                </w:rPr>
                <w:t>long-term strategy for the future of the UHF band</w:t>
              </w:r>
            </w:hyperlink>
            <w:r>
              <w:rPr>
                <w:rStyle w:val="Hyperlink"/>
                <w:rFonts w:eastAsiaTheme="majorEastAsia" w:cs="Arial"/>
              </w:rPr>
              <w:t>,</w:t>
            </w:r>
            <w:r>
              <w:t xml:space="preserve"> which suggests the band remain available for broadcasting services until at least 2030. It also recommends that the band should be available for downlink-only broadband services on a secondary basis. This outcome is reflected in the </w:t>
            </w:r>
            <w:hyperlink r:id="rId32" w:history="1">
              <w:r>
                <w:rPr>
                  <w:rStyle w:val="Hyperlink"/>
                  <w:rFonts w:eastAsiaTheme="majorEastAsia" w:cs="Arial"/>
                </w:rPr>
                <w:t>EC’s inception assessment</w:t>
              </w:r>
            </w:hyperlink>
            <w:r>
              <w:t>, but a final decision is still pending.</w:t>
            </w:r>
          </w:p>
          <w:p w14:paraId="7798DFBC" w14:textId="77777777" w:rsidR="00B747E1" w:rsidRDefault="00B747E1" w:rsidP="00EE6120">
            <w:pPr>
              <w:spacing w:after="120" w:line="240" w:lineRule="auto"/>
              <w:rPr>
                <w:rFonts w:eastAsia="SimSun"/>
                <w:lang w:eastAsia="zh-CN"/>
              </w:rPr>
            </w:pPr>
            <w:r>
              <w:rPr>
                <w:rFonts w:cs="Arial"/>
              </w:rPr>
              <w:t xml:space="preserve">ITU-R Working Party 5D </w:t>
            </w:r>
            <w:r>
              <w:rPr>
                <w:lang w:eastAsia="zh-CN"/>
              </w:rPr>
              <w:t xml:space="preserve">is continuing the </w:t>
            </w:r>
            <w:r>
              <w:rPr>
                <w:rFonts w:eastAsia="SimSun"/>
                <w:lang w:eastAsia="zh-CN"/>
              </w:rPr>
              <w:t xml:space="preserve">revision of Recommendation ITU-R M.1036-5 </w:t>
            </w:r>
            <w:r>
              <w:rPr>
                <w:rFonts w:cs="Arial"/>
              </w:rPr>
              <w:t xml:space="preserve">on frequency arrangements for implementation of the terrestrial component of International Mobile Telecommunications (IMT) in the bands identified for </w:t>
            </w:r>
            <w:r>
              <w:rPr>
                <w:rFonts w:cs="Arial"/>
              </w:rPr>
              <w:lastRenderedPageBreak/>
              <w:t>IMT in the Radio Regulations (RR). The draft revision includes arrangements for</w:t>
            </w:r>
            <w:r>
              <w:rPr>
                <w:rFonts w:eastAsia="SimSun"/>
                <w:lang w:eastAsia="zh-CN"/>
              </w:rPr>
              <w:t xml:space="preserve"> the frequency band 470–698 MHz. Working Party 5D is aiming to complete the development of frequency arrangement(s) in the frequency band 470–698 MHz at its January 2018 meeting and finalise the revision of the Recommendation for the November 2018 meeting of ITU-R Study Group 5. </w:t>
            </w:r>
          </w:p>
          <w:p w14:paraId="3ECC3066" w14:textId="77777777" w:rsidR="00B747E1" w:rsidRDefault="00B747E1" w:rsidP="00EE6120">
            <w:pPr>
              <w:spacing w:after="120" w:line="240" w:lineRule="auto"/>
              <w:rPr>
                <w:rFonts w:eastAsia="SimSun"/>
                <w:lang w:eastAsia="zh-CN"/>
              </w:rPr>
            </w:pPr>
            <w:r>
              <w:rPr>
                <w:rFonts w:eastAsia="SimSun"/>
                <w:lang w:eastAsia="zh-CN"/>
              </w:rPr>
              <w:t>The AWG finalised a report on frequency arrangements for IMT in the band 470–698 MHz at its September 2017 meeting. The arrangements mirror those put in place by the FCC and are included in Release 15 of the LTE specification as Band 71 by 3GPP.</w:t>
            </w:r>
          </w:p>
          <w:p w14:paraId="3A6991B2" w14:textId="77777777" w:rsidR="00B747E1" w:rsidRPr="005D1F3A" w:rsidRDefault="00B747E1" w:rsidP="00EE6120">
            <w:pPr>
              <w:pStyle w:val="BodySubHeader"/>
            </w:pPr>
            <w:r w:rsidRPr="005D1F3A">
              <w:t xml:space="preserve">Next </w:t>
            </w:r>
            <w:r>
              <w:t>s</w:t>
            </w:r>
            <w:r w:rsidRPr="005D1F3A">
              <w:t>teps</w:t>
            </w:r>
          </w:p>
          <w:p w14:paraId="7F072EEE" w14:textId="77777777" w:rsidR="00B747E1" w:rsidRDefault="00B747E1" w:rsidP="00EE6120">
            <w:pPr>
              <w:spacing w:after="120" w:line="240" w:lineRule="auto"/>
              <w:rPr>
                <w:rFonts w:cs="Arial"/>
              </w:rPr>
            </w:pPr>
            <w:r>
              <w:rPr>
                <w:rFonts w:cs="Arial"/>
              </w:rPr>
              <w:t>The ACMA will continue to monitor international developments in the 600 MHz band. In particular, the imple</w:t>
            </w:r>
            <w:r w:rsidRPr="006F7E0C">
              <w:rPr>
                <w:rFonts w:cs="Arial"/>
              </w:rPr>
              <w:t>mentation of the results of the incentive auction process in the United States (US) will be</w:t>
            </w:r>
            <w:r>
              <w:rPr>
                <w:rFonts w:cs="Arial"/>
              </w:rPr>
              <w:t xml:space="preserve"> of key interest. </w:t>
            </w:r>
          </w:p>
          <w:p w14:paraId="15EFB0F4" w14:textId="51A0556C" w:rsidR="00B747E1" w:rsidRDefault="00B747E1" w:rsidP="00EE6120">
            <w:pPr>
              <w:spacing w:after="120"/>
            </w:pPr>
            <w:r>
              <w:rPr>
                <w:rFonts w:cs="Arial"/>
              </w:rPr>
              <w:t xml:space="preserve">The ACMA will also engage with industry and government on technological evolution of terrestrial digital television, including DVB-T2 and HEVC. Adoption of these technologies is likely to be a prerequisite for any future reallocation of broadcasting spectrum for non-broadcasting uses, though it is also key to the more efficient use of spectrum by the television industry itself. Both the government and the ACMA have emphasised the availability of ‘sixth channel’ spectrum for trialling the new standards. </w:t>
            </w:r>
          </w:p>
        </w:tc>
        <w:tc>
          <w:tcPr>
            <w:tcW w:w="1429" w:type="dxa"/>
          </w:tcPr>
          <w:p w14:paraId="276430BF" w14:textId="5D815A65" w:rsidR="00B747E1" w:rsidRDefault="00B747E1" w:rsidP="00EE6120">
            <w:r>
              <w:rPr>
                <w:rFonts w:cs="Arial"/>
                <w:szCs w:val="20"/>
              </w:rPr>
              <w:lastRenderedPageBreak/>
              <w:t>Ongoing monitoring</w:t>
            </w:r>
          </w:p>
        </w:tc>
      </w:tr>
      <w:tr w:rsidR="00B747E1" w14:paraId="3BD079FD" w14:textId="77777777" w:rsidTr="00EE6120">
        <w:tc>
          <w:tcPr>
            <w:tcW w:w="1413" w:type="dxa"/>
          </w:tcPr>
          <w:p w14:paraId="625260AA" w14:textId="77777777" w:rsidR="00B747E1" w:rsidRDefault="00B747E1" w:rsidP="00EE6120">
            <w:pPr>
              <w:spacing w:after="0" w:line="240" w:lineRule="auto"/>
            </w:pPr>
            <w:r>
              <w:rPr>
                <w:noProof/>
              </w:rPr>
              <w:drawing>
                <wp:inline distT="0" distB="0" distL="0" distR="0" wp14:anchorId="4D289828" wp14:editId="29621B16">
                  <wp:extent cx="207010" cy="152400"/>
                  <wp:effectExtent l="0" t="0" r="2540" b="0"/>
                  <wp:docPr id="13" name="Picture 13"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t xml:space="preserve"> </w:t>
            </w:r>
            <w:r w:rsidRPr="00467F32">
              <w:t xml:space="preserve">3.3 GHz </w:t>
            </w:r>
          </w:p>
          <w:p w14:paraId="53FD0159" w14:textId="0D533BC4" w:rsidR="00B747E1" w:rsidRDefault="00B747E1" w:rsidP="00EE6120">
            <w:r w:rsidRPr="00467F32">
              <w:t>(3300–3400 MHz)</w:t>
            </w:r>
          </w:p>
        </w:tc>
        <w:tc>
          <w:tcPr>
            <w:tcW w:w="4819" w:type="dxa"/>
          </w:tcPr>
          <w:p w14:paraId="33B5EBB1" w14:textId="77777777" w:rsidR="00B747E1" w:rsidRDefault="00B747E1" w:rsidP="00EE6120">
            <w:pPr>
              <w:rPr>
                <w:rFonts w:cs="Arial"/>
              </w:rPr>
            </w:pPr>
            <w:r>
              <w:rPr>
                <w:szCs w:val="20"/>
              </w:rPr>
              <w:t xml:space="preserve">The 3300–3400 MHz band is currently allocated on a primary basis to the radiolocation service worldwide. In Australia, the radiolocation service in this band is designated to be used principally for the purposes of defence and national security via footnote AUS101A of the Spectrum Plan. The Department of Defence (Defence) is normally consulted in considering non-defence use of this service. </w:t>
            </w:r>
            <w:r>
              <w:rPr>
                <w:rFonts w:cs="Arial"/>
              </w:rPr>
              <w:t xml:space="preserve">At WRC-15, the 3300–3400 MHz band was identified for IMT by a number of countries. </w:t>
            </w:r>
          </w:p>
          <w:p w14:paraId="651FB0D4" w14:textId="77777777" w:rsidR="00B747E1" w:rsidRDefault="00B747E1" w:rsidP="00EE6120">
            <w:pPr>
              <w:pStyle w:val="BodySubHeader"/>
            </w:pPr>
            <w:r>
              <w:t>Recent developments</w:t>
            </w:r>
          </w:p>
          <w:p w14:paraId="0BCF9274" w14:textId="77777777" w:rsidR="00B747E1" w:rsidRDefault="00B747E1" w:rsidP="00EE6120">
            <w:pPr>
              <w:rPr>
                <w:rFonts w:eastAsia="SimSun"/>
                <w:lang w:eastAsia="zh-CN"/>
              </w:rPr>
            </w:pPr>
            <w:r>
              <w:rPr>
                <w:rFonts w:cs="Arial"/>
              </w:rPr>
              <w:t xml:space="preserve">ITU-R Working Party 5D </w:t>
            </w:r>
            <w:r>
              <w:rPr>
                <w:lang w:eastAsia="zh-CN"/>
              </w:rPr>
              <w:t xml:space="preserve">is continuing the </w:t>
            </w:r>
            <w:r>
              <w:rPr>
                <w:rFonts w:eastAsia="SimSun"/>
                <w:lang w:eastAsia="zh-CN"/>
              </w:rPr>
              <w:t>revision of Recommendation ITU-</w:t>
            </w:r>
            <w:r>
              <w:rPr>
                <w:rFonts w:cs="Arial"/>
              </w:rPr>
              <w:t xml:space="preserve">R M.1036-5 on frequency arrangements for implementation of the terrestrial component of IMT in the bands identified for IMT in </w:t>
            </w:r>
            <w:r w:rsidRPr="00C06614">
              <w:rPr>
                <w:rFonts w:cs="Arial"/>
              </w:rPr>
              <w:t>the</w:t>
            </w:r>
            <w:r w:rsidRPr="00365525">
              <w:rPr>
                <w:rFonts w:cs="Arial"/>
                <w:color w:val="000000"/>
                <w:szCs w:val="20"/>
                <w:lang w:val="en-US"/>
              </w:rPr>
              <w:t xml:space="preserve"> Radio Regulations</w:t>
            </w:r>
            <w:r>
              <w:rPr>
                <w:rFonts w:cs="Arial"/>
              </w:rPr>
              <w:t xml:space="preserve"> (RRs). The draft revision includes arrangements for the frequency band 3300–3400 MHz. Working Party 5D also commenced studies as called for in Resolution </w:t>
            </w:r>
            <w:r>
              <w:rPr>
                <w:rFonts w:cs="Arial"/>
                <w:b/>
              </w:rPr>
              <w:t>223 (Rev. WRC-15).</w:t>
            </w:r>
            <w:r>
              <w:rPr>
                <w:rFonts w:cs="Arial"/>
              </w:rPr>
              <w:t xml:space="preserve"> </w:t>
            </w:r>
            <w:r>
              <w:rPr>
                <w:rFonts w:eastAsia="SimSun"/>
                <w:lang w:eastAsia="zh-CN"/>
              </w:rPr>
              <w:t>Working Party 5D is aiming to complete these work items by late 2018. The AWG</w:t>
            </w:r>
            <w:r w:rsidDel="005601C6">
              <w:rPr>
                <w:rFonts w:eastAsia="SimSun"/>
                <w:lang w:eastAsia="zh-CN"/>
              </w:rPr>
              <w:t xml:space="preserve"> </w:t>
            </w:r>
            <w:r>
              <w:rPr>
                <w:rFonts w:eastAsia="SimSun"/>
                <w:lang w:eastAsia="zh-CN"/>
              </w:rPr>
              <w:t xml:space="preserve">has a work plan </w:t>
            </w:r>
            <w:r>
              <w:rPr>
                <w:rFonts w:eastAsia="SimSun"/>
                <w:lang w:eastAsia="zh-CN"/>
              </w:rPr>
              <w:lastRenderedPageBreak/>
              <w:t xml:space="preserve">to develop a recommendation or report on harmonised frequency arrangement(s) for the </w:t>
            </w:r>
            <w:r>
              <w:rPr>
                <w:rFonts w:cs="Arial"/>
              </w:rPr>
              <w:t>3300–3400 MHz</w:t>
            </w:r>
            <w:r>
              <w:rPr>
                <w:rFonts w:eastAsia="SimSun"/>
                <w:lang w:eastAsia="zh-CN"/>
              </w:rPr>
              <w:t xml:space="preserve"> band. </w:t>
            </w:r>
            <w:r>
              <w:rPr>
                <w:rFonts w:cs="Arial"/>
              </w:rPr>
              <w:t xml:space="preserve">Technology standardisation within the 3GPP is also developing, with two bands defined by the 3GPP in July 2017: the first band being 3.3–3.8 GHz and the second being 3.3–4.2 GHz. </w:t>
            </w:r>
          </w:p>
          <w:p w14:paraId="35323306" w14:textId="77777777" w:rsidR="00B747E1" w:rsidRPr="005D1F3A" w:rsidRDefault="00B747E1" w:rsidP="00EE6120">
            <w:pPr>
              <w:pStyle w:val="BodySubHeader"/>
            </w:pPr>
            <w:r w:rsidRPr="005D1F3A">
              <w:t xml:space="preserve">Next </w:t>
            </w:r>
            <w:r>
              <w:t>s</w:t>
            </w:r>
            <w:r w:rsidRPr="005D1F3A">
              <w:t>teps</w:t>
            </w:r>
          </w:p>
          <w:p w14:paraId="61DC4093" w14:textId="77777777" w:rsidR="00B747E1" w:rsidRDefault="00B747E1" w:rsidP="00EE6120">
            <w:pPr>
              <w:spacing w:after="120"/>
              <w:rPr>
                <w:rFonts w:cs="Arial"/>
              </w:rPr>
            </w:pPr>
            <w:r>
              <w:rPr>
                <w:rFonts w:cs="Arial"/>
              </w:rPr>
              <w:t xml:space="preserve">Given the outcomes of WRC-15, and the potential for economies of scale to develop for equipment, the ACMA will continue to monitor international developments in the 3.3 GHz band. Possible engagement (including through contributions) in international studies </w:t>
            </w:r>
            <w:r>
              <w:rPr>
                <w:szCs w:val="20"/>
              </w:rPr>
              <w:t xml:space="preserve">as outlined in Resolution </w:t>
            </w:r>
            <w:r>
              <w:rPr>
                <w:b/>
                <w:szCs w:val="20"/>
              </w:rPr>
              <w:t>223 (Rev. WRC-15)</w:t>
            </w:r>
            <w:r>
              <w:rPr>
                <w:szCs w:val="20"/>
              </w:rPr>
              <w:t xml:space="preserve"> </w:t>
            </w:r>
            <w:r>
              <w:rPr>
                <w:rFonts w:cs="Arial"/>
              </w:rPr>
              <w:t xml:space="preserve">will be considered. </w:t>
            </w:r>
          </w:p>
          <w:p w14:paraId="59A6279C" w14:textId="77777777" w:rsidR="00B747E1" w:rsidRDefault="00B747E1" w:rsidP="00EE6120">
            <w:pPr>
              <w:spacing w:after="120"/>
              <w:rPr>
                <w:rFonts w:cs="Arial"/>
              </w:rPr>
            </w:pPr>
            <w:r>
              <w:rPr>
                <w:rFonts w:cs="Arial"/>
              </w:rPr>
              <w:t>Noting incumbent use of the band, the ACMA is of the view that this band may be a candidate for consideration of dynamic spectrum-</w:t>
            </w:r>
            <w:r w:rsidDel="00D76885">
              <w:rPr>
                <w:rFonts w:cs="Arial"/>
              </w:rPr>
              <w:t xml:space="preserve">access </w:t>
            </w:r>
            <w:r>
              <w:rPr>
                <w:rFonts w:cs="Arial"/>
              </w:rPr>
              <w:t>(DSA) type arrangements, to promote sharing and increase the utility of the band.</w:t>
            </w:r>
          </w:p>
          <w:p w14:paraId="564A6E34" w14:textId="77777777" w:rsidR="00B747E1" w:rsidRDefault="00B747E1" w:rsidP="00EE6120">
            <w:pPr>
              <w:spacing w:after="120"/>
              <w:rPr>
                <w:rFonts w:cs="Arial"/>
              </w:rPr>
            </w:pPr>
            <w:r>
              <w:rPr>
                <w:rFonts w:cs="Arial"/>
              </w:rPr>
              <w:t xml:space="preserve">A submission to the draft FYSO from the Wireless Internet Service Provider association of Australia suggested that this band could be explored for broadband wireless access (BWA) services using DSA. </w:t>
            </w:r>
          </w:p>
          <w:p w14:paraId="2C299710" w14:textId="00729544" w:rsidR="00B747E1" w:rsidRDefault="00B747E1" w:rsidP="00EE6120">
            <w:pPr>
              <w:spacing w:after="120"/>
            </w:pPr>
            <w:r>
              <w:rPr>
                <w:rFonts w:cs="Arial"/>
                <w:noProof/>
              </w:rPr>
              <w:drawing>
                <wp:inline distT="0" distB="0" distL="0" distR="0" wp14:anchorId="46D4F30C" wp14:editId="727CE6AE">
                  <wp:extent cx="207010" cy="152400"/>
                  <wp:effectExtent l="0" t="0" r="2540" b="0"/>
                  <wp:docPr id="18" name="Picture 18"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Pr>
                <w:rFonts w:cs="Arial"/>
              </w:rPr>
              <w:t xml:space="preserve"> The ACMA</w:t>
            </w:r>
            <w:r w:rsidDel="00D76885">
              <w:rPr>
                <w:rFonts w:cs="Arial"/>
              </w:rPr>
              <w:t xml:space="preserve"> </w:t>
            </w:r>
            <w:r>
              <w:rPr>
                <w:rFonts w:cs="Arial"/>
              </w:rPr>
              <w:t>plans to engage further over the next year with relevant stakeholders, including incumbent operators, to gain a better understanding of existing use patterns in the band. A better understanding of current use will help inform the possibility of enabling BWA services under a DSA-type arrangement.</w:t>
            </w:r>
          </w:p>
        </w:tc>
        <w:tc>
          <w:tcPr>
            <w:tcW w:w="1429" w:type="dxa"/>
          </w:tcPr>
          <w:p w14:paraId="52951196" w14:textId="3CAA85EA" w:rsidR="00B747E1" w:rsidRDefault="00B747E1" w:rsidP="00EE6120">
            <w:r>
              <w:rPr>
                <w:rFonts w:cs="Arial"/>
                <w:szCs w:val="20"/>
              </w:rPr>
              <w:lastRenderedPageBreak/>
              <w:t xml:space="preserve">Ongoing monitoring </w:t>
            </w:r>
          </w:p>
        </w:tc>
      </w:tr>
      <w:tr w:rsidR="00B747E1" w14:paraId="1D24A5EF" w14:textId="77777777" w:rsidTr="00EE6120">
        <w:tc>
          <w:tcPr>
            <w:tcW w:w="1413" w:type="dxa"/>
          </w:tcPr>
          <w:p w14:paraId="372A64C5" w14:textId="77777777" w:rsidR="00B747E1" w:rsidRDefault="00B747E1" w:rsidP="00EE6120">
            <w:pPr>
              <w:spacing w:after="0" w:line="240" w:lineRule="auto"/>
            </w:pPr>
            <w:r w:rsidRPr="00467F32">
              <w:t xml:space="preserve">4.5 GHz </w:t>
            </w:r>
          </w:p>
          <w:p w14:paraId="47E4B839" w14:textId="7068A458" w:rsidR="00B747E1" w:rsidRDefault="00B747E1" w:rsidP="00EE6120">
            <w:r w:rsidRPr="00467F32">
              <w:t>(4400–4500 MHz)</w:t>
            </w:r>
          </w:p>
        </w:tc>
        <w:tc>
          <w:tcPr>
            <w:tcW w:w="4819" w:type="dxa"/>
          </w:tcPr>
          <w:p w14:paraId="5B96AEDB" w14:textId="77777777" w:rsidR="00B747E1" w:rsidRDefault="00B747E1" w:rsidP="00EE6120">
            <w:pPr>
              <w:spacing w:after="120"/>
              <w:rPr>
                <w:rFonts w:cs="Arial"/>
              </w:rPr>
            </w:pPr>
            <w:r>
              <w:rPr>
                <w:szCs w:val="20"/>
              </w:rPr>
              <w:t>The 4400–4500 MHz band is currently allocated on a co-primary basis to fixed and mobile service worldwide. In Australia, the band is designated to be used principally for the purposes of defence and national security via footnote AUS101 of the Spectrum Plan. Defence is normally consulted in considering non-defence use of this service. Typical use is</w:t>
            </w:r>
            <w:r w:rsidDel="005601C6">
              <w:rPr>
                <w:szCs w:val="20"/>
              </w:rPr>
              <w:t xml:space="preserve"> for </w:t>
            </w:r>
            <w:r>
              <w:rPr>
                <w:szCs w:val="20"/>
              </w:rPr>
              <w:t>aeronautical mobile telemetry for flight testing by aircraft stations.</w:t>
            </w:r>
          </w:p>
          <w:p w14:paraId="3EBEE5BE" w14:textId="77777777" w:rsidR="00B747E1" w:rsidRDefault="00B747E1" w:rsidP="00EE6120">
            <w:pPr>
              <w:spacing w:after="120"/>
              <w:rPr>
                <w:rFonts w:cs="Arial"/>
              </w:rPr>
            </w:pPr>
            <w:r>
              <w:rPr>
                <w:rFonts w:cs="Arial"/>
              </w:rPr>
              <w:t xml:space="preserve">The 4400–4500 MHz band was considered for use for mobile broadband services in the lead up to WRC-15. However, the band was not identified for IMT at WRC-15 despite strong interest from China, Japan and Korea, in particular. </w:t>
            </w:r>
          </w:p>
          <w:p w14:paraId="3C80903A" w14:textId="77777777" w:rsidR="00B747E1" w:rsidRDefault="00B747E1" w:rsidP="00EE6120">
            <w:pPr>
              <w:spacing w:after="120"/>
              <w:rPr>
                <w:szCs w:val="20"/>
              </w:rPr>
            </w:pPr>
            <w:r>
              <w:rPr>
                <w:rFonts w:cs="Arial"/>
              </w:rPr>
              <w:t xml:space="preserve">Since then, there has been increasing interest in this band, particularly from Region 3 countries. In June 2016, Japan’s Ministry of Internal Affair’s and Communications (MIC) named the 4.4–4.9 GHz band as a nationally suitable candidate band for </w:t>
            </w:r>
            <w:r>
              <w:rPr>
                <w:rFonts w:cs="Arial"/>
              </w:rPr>
              <w:lastRenderedPageBreak/>
              <w:t>5G.</w:t>
            </w:r>
            <w:r>
              <w:rPr>
                <w:rStyle w:val="FootnoteReference"/>
              </w:rPr>
              <w:footnoteReference w:id="16"/>
            </w:r>
            <w:r>
              <w:rPr>
                <w:rFonts w:cs="Arial"/>
              </w:rPr>
              <w:t xml:space="preserve"> </w:t>
            </w:r>
            <w:r>
              <w:rPr>
                <w:szCs w:val="20"/>
              </w:rPr>
              <w:t xml:space="preserve">There is some support from domestic mobile broadband interests in pursuing this band for mobile broadband in Australia. </w:t>
            </w:r>
          </w:p>
          <w:p w14:paraId="2B29D19F" w14:textId="77777777" w:rsidR="00B747E1" w:rsidRDefault="00B747E1" w:rsidP="00EE6120">
            <w:pPr>
              <w:pStyle w:val="BodySubHeader"/>
            </w:pPr>
            <w:r>
              <w:t xml:space="preserve">Recent </w:t>
            </w:r>
            <w:r w:rsidRPr="00630E71">
              <w:t>developments</w:t>
            </w:r>
          </w:p>
          <w:p w14:paraId="7E5B7E59" w14:textId="77777777" w:rsidR="00B747E1" w:rsidRDefault="00B747E1" w:rsidP="00EE6120">
            <w:pPr>
              <w:rPr>
                <w:rFonts w:cs="Arial"/>
              </w:rPr>
            </w:pPr>
            <w:r>
              <w:rPr>
                <w:rFonts w:cs="Arial"/>
              </w:rPr>
              <w:t>In October 2016, Vodafone and Nokia conducted the first live public 5G demonstration in Australia using the 4.5 GHz band.</w:t>
            </w:r>
            <w:r>
              <w:rPr>
                <w:rStyle w:val="FootnoteReference"/>
              </w:rPr>
              <w:footnoteReference w:id="17"/>
            </w:r>
            <w:r>
              <w:rPr>
                <w:rFonts w:cs="Arial"/>
              </w:rPr>
              <w:t xml:space="preserve"> There have also been a number of 5G trials using the 4.5 GHz band in other Region 3 countries, including in China, Korea and Japan.</w:t>
            </w:r>
            <w:r>
              <w:rPr>
                <w:rStyle w:val="FootnoteReference"/>
              </w:rPr>
              <w:footnoteReference w:id="18"/>
            </w:r>
            <w:r>
              <w:rPr>
                <w:rFonts w:cs="Arial"/>
              </w:rPr>
              <w:t xml:space="preserve"> The 4400–4900 MHz band has been defined as one of Japan’s official 5G bands. Allocation and technical rules for Japan’s official 5G bands are expected in 2018.</w:t>
            </w:r>
            <w:r>
              <w:rPr>
                <w:rStyle w:val="FootnoteReference"/>
                <w:rFonts w:cs="Arial"/>
              </w:rPr>
              <w:footnoteReference w:id="19"/>
            </w:r>
            <w:r>
              <w:rPr>
                <w:rFonts w:cs="Arial"/>
              </w:rPr>
              <w:t xml:space="preserve"> </w:t>
            </w:r>
          </w:p>
          <w:p w14:paraId="170B2860" w14:textId="77777777" w:rsidR="00B747E1" w:rsidRPr="005D1F3A" w:rsidRDefault="00B747E1" w:rsidP="00EE6120">
            <w:pPr>
              <w:pStyle w:val="BodySubHeader"/>
            </w:pPr>
            <w:r w:rsidRPr="005D1F3A">
              <w:t xml:space="preserve">Next </w:t>
            </w:r>
            <w:r>
              <w:t>s</w:t>
            </w:r>
            <w:r w:rsidRPr="005D1F3A">
              <w:t>teps</w:t>
            </w:r>
          </w:p>
          <w:p w14:paraId="2C7C5054" w14:textId="2218B116" w:rsidR="00B747E1" w:rsidRDefault="00B747E1" w:rsidP="00EE6120">
            <w:pPr>
              <w:spacing w:after="120"/>
            </w:pPr>
            <w:r>
              <w:rPr>
                <w:rFonts w:cs="Arial"/>
              </w:rPr>
              <w:t>The ACMA will continue to monitor international developments in this band. Noting incumbent use of the band, the ACMA is of the view that this band may be a candidate for consideration of dynamic spectrum-access type arrangements to promote sharing and increase the utility of the band. If the ACMA pursues this idea, it will engage further with relevant stakeholders.</w:t>
            </w:r>
          </w:p>
        </w:tc>
        <w:tc>
          <w:tcPr>
            <w:tcW w:w="1429" w:type="dxa"/>
          </w:tcPr>
          <w:p w14:paraId="38227664" w14:textId="3179FCF0" w:rsidR="00B747E1" w:rsidRDefault="00B747E1" w:rsidP="00EE6120">
            <w:r>
              <w:rPr>
                <w:rFonts w:cs="Arial"/>
                <w:szCs w:val="20"/>
              </w:rPr>
              <w:lastRenderedPageBreak/>
              <w:t>Ongoing monitoring</w:t>
            </w:r>
          </w:p>
        </w:tc>
      </w:tr>
      <w:tr w:rsidR="00B747E1" w14:paraId="6748DAB1" w14:textId="77777777" w:rsidTr="00EE6120">
        <w:tc>
          <w:tcPr>
            <w:tcW w:w="1413" w:type="dxa"/>
          </w:tcPr>
          <w:p w14:paraId="7DB8349E" w14:textId="77777777" w:rsidR="00B747E1" w:rsidRDefault="00B747E1" w:rsidP="00EE6120">
            <w:pPr>
              <w:spacing w:after="0" w:line="240" w:lineRule="auto"/>
            </w:pPr>
            <w:r w:rsidRPr="00467F32">
              <w:t>4.</w:t>
            </w:r>
            <w:r>
              <w:t>8</w:t>
            </w:r>
            <w:r w:rsidRPr="00467F32">
              <w:t xml:space="preserve"> GHz </w:t>
            </w:r>
          </w:p>
          <w:p w14:paraId="21FE7FDE" w14:textId="1EC78132" w:rsidR="00B747E1" w:rsidRDefault="00B747E1" w:rsidP="00EE6120">
            <w:r w:rsidRPr="00467F32">
              <w:t>(4800–4990 MHz)</w:t>
            </w:r>
          </w:p>
        </w:tc>
        <w:tc>
          <w:tcPr>
            <w:tcW w:w="4819" w:type="dxa"/>
          </w:tcPr>
          <w:p w14:paraId="58F74A9C" w14:textId="77777777" w:rsidR="00B747E1" w:rsidRDefault="00B747E1" w:rsidP="00EE6120">
            <w:pPr>
              <w:spacing w:after="120"/>
              <w:rPr>
                <w:rFonts w:cs="Arial"/>
              </w:rPr>
            </w:pPr>
            <w:r>
              <w:rPr>
                <w:rFonts w:cs="Arial"/>
              </w:rPr>
              <w:t xml:space="preserve">At WRC-15, the 4800–4990 MHz band was identified for IMT by a number of countries, including Uruguay, Cambodia, Lao PDR and Vietnam. Notably, there was also strong interest from China and Japan in identifying the band for IMT. This suggests that a viable ecosystem could develop for mobile broadband systems in this band. </w:t>
            </w:r>
          </w:p>
          <w:p w14:paraId="21F62DBF" w14:textId="77777777" w:rsidR="00B747E1" w:rsidRDefault="00B747E1" w:rsidP="00EE6120">
            <w:pPr>
              <w:spacing w:after="120"/>
              <w:rPr>
                <w:szCs w:val="20"/>
              </w:rPr>
            </w:pPr>
            <w:r>
              <w:rPr>
                <w:szCs w:val="20"/>
              </w:rPr>
              <w:t>The 4800–4990 MHz band is currently allocated on a primary basis for the fixed and mobile services in Australia. The fixed and mobile services in this band are designated to be used principally for the purposes of defence and national security, as defined in footnote AUS101A of the Spectrum Plan. Defence is normally consulted in considering non-defence use of these services. The 4950–4990 MHz band is also allocated to the radio astronomy service on a primary basis under footnote 443 of the Spectrum Plan.</w:t>
            </w:r>
          </w:p>
          <w:p w14:paraId="7C45C183" w14:textId="77777777" w:rsidR="00B747E1" w:rsidRDefault="00B747E1" w:rsidP="00EE6120">
            <w:pPr>
              <w:spacing w:after="120"/>
              <w:rPr>
                <w:rFonts w:cs="Arial"/>
              </w:rPr>
            </w:pPr>
            <w:r>
              <w:rPr>
                <w:rFonts w:cs="Arial"/>
              </w:rPr>
              <w:t xml:space="preserve">At WRC-03, the </w:t>
            </w:r>
            <w:r>
              <w:rPr>
                <w:szCs w:val="20"/>
              </w:rPr>
              <w:t>4940–4990 MHz</w:t>
            </w:r>
            <w:r>
              <w:rPr>
                <w:rFonts w:cs="Arial"/>
              </w:rPr>
              <w:t xml:space="preserve"> band was identified to support public safety services in regions 2 and 3 for use by government agencies responsible for the </w:t>
            </w:r>
            <w:r>
              <w:rPr>
                <w:rFonts w:cs="Arial"/>
              </w:rPr>
              <w:lastRenderedPageBreak/>
              <w:t>provision of defence, national security, law enforcement and emergency services.</w:t>
            </w:r>
            <w:r>
              <w:rPr>
                <w:rStyle w:val="FootnoteReference"/>
              </w:rPr>
              <w:footnoteReference w:id="20"/>
            </w:r>
            <w:r>
              <w:rPr>
                <w:rStyle w:val="FootnoteReference"/>
              </w:rPr>
              <w:t xml:space="preserve"> </w:t>
            </w:r>
          </w:p>
          <w:p w14:paraId="1B1DC996" w14:textId="77777777" w:rsidR="00B747E1" w:rsidRDefault="00B747E1" w:rsidP="00EE6120">
            <w:pPr>
              <w:spacing w:after="120"/>
              <w:rPr>
                <w:szCs w:val="20"/>
              </w:rPr>
            </w:pPr>
            <w:r>
              <w:t>There is some support from domestic mobile broadband interests in pursuing this band for mobile broadband in Australia.</w:t>
            </w:r>
            <w:r>
              <w:rPr>
                <w:szCs w:val="20"/>
              </w:rPr>
              <w:t xml:space="preserve"> However, the ACMA is not aware of any significant interest in this band by regional bodies such as CEPT, CITEL or APT. </w:t>
            </w:r>
          </w:p>
          <w:p w14:paraId="60CB30DE" w14:textId="77777777" w:rsidR="00B747E1" w:rsidRDefault="00B747E1" w:rsidP="00EE6120">
            <w:pPr>
              <w:spacing w:after="120"/>
              <w:rPr>
                <w:rFonts w:cs="Arial"/>
              </w:rPr>
            </w:pPr>
            <w:r>
              <w:rPr>
                <w:rFonts w:cs="Arial"/>
              </w:rPr>
              <w:t xml:space="preserve">A number of countries, including Australia, have implemented arrangements in the </w:t>
            </w:r>
            <w:r>
              <w:rPr>
                <w:szCs w:val="20"/>
              </w:rPr>
              <w:t>4940–4990 MHz</w:t>
            </w:r>
            <w:r>
              <w:rPr>
                <w:rFonts w:cs="Arial"/>
              </w:rPr>
              <w:t xml:space="preserve"> band for defence and national security purposes. This is principally to support high-speed localised coverage around an incident or event. The </w:t>
            </w:r>
            <w:hyperlink r:id="rId33" w:history="1">
              <w:r>
                <w:rPr>
                  <w:rStyle w:val="Hyperlink"/>
                  <w:rFonts w:eastAsiaTheme="majorEastAsia" w:cs="Arial"/>
                </w:rPr>
                <w:t>Radiocommunications (Public Safety and Emergency Response) Class Licence 2013</w:t>
              </w:r>
            </w:hyperlink>
            <w:r>
              <w:rPr>
                <w:rFonts w:cs="Arial"/>
              </w:rPr>
              <w:t xml:space="preserve"> outlines arrangements for the use of this band, which allows public safety agencies to enhance their ability to perform public safety activities and provide significant flexibility in deployment during emergency response and disaster recovery activities. The 4940–4990 MHz is also included in IEEE standard 802.11y Public Safety WLAN. </w:t>
            </w:r>
          </w:p>
          <w:p w14:paraId="6E1EA962" w14:textId="77777777" w:rsidR="00B747E1" w:rsidRDefault="00B747E1" w:rsidP="00EE6120">
            <w:pPr>
              <w:pStyle w:val="BodySubHeader"/>
            </w:pPr>
            <w:r>
              <w:t>Recent developments</w:t>
            </w:r>
          </w:p>
          <w:p w14:paraId="295514A8" w14:textId="77777777" w:rsidR="00B747E1" w:rsidRDefault="00B747E1" w:rsidP="00EE6120">
            <w:pPr>
              <w:spacing w:after="120"/>
              <w:rPr>
                <w:rFonts w:eastAsia="SimSun"/>
                <w:lang w:eastAsia="zh-CN"/>
              </w:rPr>
            </w:pPr>
            <w:r>
              <w:rPr>
                <w:rFonts w:cs="Arial"/>
              </w:rPr>
              <w:t xml:space="preserve">ITU-R Working Party 5D </w:t>
            </w:r>
            <w:r>
              <w:rPr>
                <w:lang w:eastAsia="zh-CN"/>
              </w:rPr>
              <w:t xml:space="preserve">are continuing the </w:t>
            </w:r>
            <w:r>
              <w:rPr>
                <w:rFonts w:eastAsia="SimSun"/>
                <w:lang w:eastAsia="zh-CN"/>
              </w:rPr>
              <w:t>revision of Recommendation ITU-</w:t>
            </w:r>
            <w:r>
              <w:rPr>
                <w:rFonts w:cs="Arial"/>
              </w:rPr>
              <w:t xml:space="preserve">R M.1036-5 on frequency arrangements for implementation of the terrestrial component of IMT in the bands identified for IMT in the </w:t>
            </w:r>
            <w:r w:rsidRPr="00C62009">
              <w:rPr>
                <w:rFonts w:cs="Arial"/>
              </w:rPr>
              <w:t>RRs. The</w:t>
            </w:r>
            <w:r>
              <w:rPr>
                <w:rFonts w:cs="Arial"/>
              </w:rPr>
              <w:t xml:space="preserve"> draft revision includes arrangements for the frequency band 4800–4990 MHz. Working Party 5D is also continuing studies called for in Resolution </w:t>
            </w:r>
            <w:r>
              <w:rPr>
                <w:rFonts w:cs="Arial"/>
                <w:b/>
              </w:rPr>
              <w:t>223 (Rev. WRC-15)</w:t>
            </w:r>
            <w:r>
              <w:rPr>
                <w:rFonts w:cs="Arial"/>
              </w:rPr>
              <w:t xml:space="preserve"> on</w:t>
            </w:r>
            <w:r>
              <w:t xml:space="preserve"> the </w:t>
            </w:r>
            <w:r w:rsidRPr="00964F02">
              <w:rPr>
                <w:lang w:eastAsia="ja-JP"/>
              </w:rPr>
              <w:t>coexistence conditions between IMT and aeronautical mobile service in the band</w:t>
            </w:r>
            <w:r>
              <w:rPr>
                <w:rFonts w:cs="Arial"/>
              </w:rPr>
              <w:t>, with work currently underway to develop sharing characteristics for IMT-2020 in this band as part of this work item</w:t>
            </w:r>
            <w:r>
              <w:t xml:space="preserve">. </w:t>
            </w:r>
            <w:r>
              <w:rPr>
                <w:rFonts w:eastAsia="SimSun"/>
                <w:lang w:eastAsia="zh-CN"/>
              </w:rPr>
              <w:t xml:space="preserve">Working Party 5D is aiming to complete these work items by late 2018. </w:t>
            </w:r>
          </w:p>
          <w:p w14:paraId="400634D7" w14:textId="77777777" w:rsidR="00B747E1" w:rsidRDefault="00B747E1" w:rsidP="00EE6120">
            <w:pPr>
              <w:spacing w:after="120"/>
              <w:rPr>
                <w:rFonts w:cs="Arial"/>
              </w:rPr>
            </w:pPr>
            <w:r>
              <w:rPr>
                <w:rFonts w:eastAsia="SimSun"/>
                <w:lang w:eastAsia="zh-CN"/>
              </w:rPr>
              <w:t xml:space="preserve">The AWG has a work plan to develop a recommendation on frequency arrangements for the </w:t>
            </w:r>
            <w:r>
              <w:rPr>
                <w:szCs w:val="20"/>
              </w:rPr>
              <w:t xml:space="preserve">4800–4990 MHz </w:t>
            </w:r>
            <w:r>
              <w:rPr>
                <w:rFonts w:eastAsia="SimSun"/>
                <w:lang w:eastAsia="zh-CN"/>
              </w:rPr>
              <w:t>band. The current proposal is to finalise the work in late 2018.</w:t>
            </w:r>
            <w:r>
              <w:rPr>
                <w:rFonts w:cs="Arial"/>
              </w:rPr>
              <w:t xml:space="preserve"> The 4400–4900 MHz band has been defined as one of Japan’s official 5G bands. Allocation and technical rules for Japan’s official 5G bands are expected in 2018.</w:t>
            </w:r>
            <w:r>
              <w:rPr>
                <w:rStyle w:val="FootnoteReference"/>
                <w:rFonts w:cs="Arial"/>
              </w:rPr>
              <w:footnoteReference w:id="21"/>
            </w:r>
            <w:r>
              <w:rPr>
                <w:rFonts w:cs="Arial"/>
              </w:rPr>
              <w:t xml:space="preserve"> </w:t>
            </w:r>
          </w:p>
          <w:p w14:paraId="492604B5" w14:textId="77777777" w:rsidR="00B747E1" w:rsidRPr="003B30B8" w:rsidRDefault="00B747E1" w:rsidP="00EE6120">
            <w:pPr>
              <w:pStyle w:val="BodySubHeader"/>
            </w:pPr>
            <w:r w:rsidRPr="003B30B8">
              <w:t xml:space="preserve">Next </w:t>
            </w:r>
            <w:r>
              <w:t>s</w:t>
            </w:r>
            <w:r w:rsidRPr="003B30B8">
              <w:t>teps</w:t>
            </w:r>
          </w:p>
          <w:p w14:paraId="528F5D1C" w14:textId="77777777" w:rsidR="00B747E1" w:rsidRDefault="00B747E1" w:rsidP="00EE6120">
            <w:pPr>
              <w:spacing w:after="120"/>
              <w:rPr>
                <w:rFonts w:cs="Arial"/>
              </w:rPr>
            </w:pPr>
            <w:r>
              <w:rPr>
                <w:rFonts w:cs="Arial"/>
              </w:rPr>
              <w:t xml:space="preserve">Given the outcomes of WRC-15, and the potential for economies of scale to develop for equipment, the ACMA will continue to monitor international developments in the 4.8 GHz band. </w:t>
            </w:r>
          </w:p>
          <w:p w14:paraId="3B7C2A69" w14:textId="60F3CE57" w:rsidR="00B747E1" w:rsidRDefault="00B747E1" w:rsidP="00EE6120">
            <w:pPr>
              <w:spacing w:after="120"/>
            </w:pPr>
            <w:r>
              <w:rPr>
                <w:rFonts w:cs="Arial"/>
              </w:rPr>
              <w:lastRenderedPageBreak/>
              <w:t xml:space="preserve">Possible engagement (including through contributions) in international studies </w:t>
            </w:r>
            <w:r>
              <w:rPr>
                <w:szCs w:val="20"/>
              </w:rPr>
              <w:t xml:space="preserve">as outlined in Resolution </w:t>
            </w:r>
            <w:r>
              <w:rPr>
                <w:b/>
                <w:szCs w:val="20"/>
              </w:rPr>
              <w:t>223 (Rev. WRC-15)</w:t>
            </w:r>
            <w:r>
              <w:rPr>
                <w:szCs w:val="20"/>
              </w:rPr>
              <w:t xml:space="preserve"> </w:t>
            </w:r>
            <w:r>
              <w:rPr>
                <w:rFonts w:cs="Arial"/>
              </w:rPr>
              <w:t xml:space="preserve">will be considered as part of the ACMA’s international engagement processes. Given the nature of incumbent use of the band, the ACMA is of the view that this band may be a candidate for consideration of dynamic spectrum-access type arrangements as a way of sharing and, hence, increasing the utility of the band. If the ACMA pursues this idea, it will engage further with relevant stakeholders. </w:t>
            </w:r>
          </w:p>
        </w:tc>
        <w:tc>
          <w:tcPr>
            <w:tcW w:w="1429" w:type="dxa"/>
          </w:tcPr>
          <w:p w14:paraId="2573D1EB" w14:textId="494BDA9D" w:rsidR="00B747E1" w:rsidRDefault="00B747E1" w:rsidP="00EE6120">
            <w:r>
              <w:rPr>
                <w:rFonts w:cs="Arial"/>
                <w:szCs w:val="20"/>
              </w:rPr>
              <w:lastRenderedPageBreak/>
              <w:t>Ongoing monitoring</w:t>
            </w:r>
          </w:p>
        </w:tc>
      </w:tr>
      <w:tr w:rsidR="00B747E1" w14:paraId="7D27ADBF" w14:textId="77777777" w:rsidTr="00EE6120">
        <w:tc>
          <w:tcPr>
            <w:tcW w:w="1413" w:type="dxa"/>
          </w:tcPr>
          <w:p w14:paraId="472201B4" w14:textId="77777777" w:rsidR="00B747E1" w:rsidRDefault="00B747E1" w:rsidP="00EE6120">
            <w:pPr>
              <w:pStyle w:val="TableBody"/>
              <w:rPr>
                <w:rFonts w:cs="Arial"/>
              </w:rPr>
            </w:pPr>
            <w:r>
              <w:rPr>
                <w:rFonts w:cs="Arial"/>
              </w:rPr>
              <w:lastRenderedPageBreak/>
              <w:t>Bands being studied under WRC-19 agenda item 1.16:</w:t>
            </w:r>
          </w:p>
          <w:p w14:paraId="70FAAC96" w14:textId="7EA83C5D" w:rsidR="00B747E1" w:rsidRDefault="00B747E1" w:rsidP="00EE6120">
            <w:r>
              <w:rPr>
                <w:rFonts w:cs="Arial"/>
              </w:rPr>
              <w:t>5150–5350 MHz, 5350–5470 MHz, 5725–5850 MHz and 5850–5925 MHz</w:t>
            </w:r>
          </w:p>
        </w:tc>
        <w:tc>
          <w:tcPr>
            <w:tcW w:w="4819" w:type="dxa"/>
          </w:tcPr>
          <w:p w14:paraId="1720C428" w14:textId="77777777" w:rsidR="00B747E1" w:rsidRDefault="00B747E1" w:rsidP="00EE6120">
            <w:pPr>
              <w:spacing w:after="120"/>
              <w:rPr>
                <w:rFonts w:cs="Arial"/>
              </w:rPr>
            </w:pPr>
            <w:r w:rsidRPr="00C8721B">
              <w:rPr>
                <w:rFonts w:cs="Arial"/>
              </w:rPr>
              <w:t>WRC-19 agenda item 1.16 is to consider issues related to wireless access systems, including radio local area networks (WAS/RLAN), in the frequency bands 5150–5350 MHz (to enable outdoor usage), 5350–5470 MHz, 5725–5850 MHz and 5850–5925 MHz, while ensuring the protection of incumbent services including their current and planned use.</w:t>
            </w:r>
            <w:r>
              <w:rPr>
                <w:rFonts w:cs="Arial"/>
              </w:rPr>
              <w:t xml:space="preserve"> </w:t>
            </w:r>
          </w:p>
          <w:p w14:paraId="5F11FC7C" w14:textId="77777777" w:rsidR="00B747E1" w:rsidRDefault="00B747E1" w:rsidP="00EE6120">
            <w:pPr>
              <w:spacing w:after="120"/>
              <w:rPr>
                <w:rFonts w:cs="Arial"/>
              </w:rPr>
            </w:pPr>
            <w:r>
              <w:rPr>
                <w:rFonts w:cs="Arial"/>
              </w:rPr>
              <w:t xml:space="preserve">There was initially strong interest from the </w:t>
            </w:r>
            <w:r w:rsidRPr="00CD459E">
              <w:rPr>
                <w:rFonts w:cs="Arial"/>
              </w:rPr>
              <w:t>US</w:t>
            </w:r>
            <w:r>
              <w:rPr>
                <w:rFonts w:cs="Arial"/>
              </w:rPr>
              <w:t xml:space="preserve"> and the </w:t>
            </w:r>
            <w:r w:rsidRPr="00C62009">
              <w:rPr>
                <w:rFonts w:cs="Arial"/>
              </w:rPr>
              <w:t>United Kingdom (UK) to</w:t>
            </w:r>
            <w:r>
              <w:rPr>
                <w:rFonts w:cs="Arial"/>
              </w:rPr>
              <w:t xml:space="preserve"> investigate use of the 5350–5470 MHz band for RLANs but this appears to have subsided. Europe has also indicated interest in investigating use of the 5725–5850 MHz band for RLANs. Arrangements already exist in Australia for RLANs in the 5150–5350 MHz band (low power indoor use only) and the 5725–5850 MHz band. The ACMA has also received requests to review existing Australian arrangements to align with US arrangements. The 5150–5350 MHz and 5725–5850 MHz bands are also included in the IEEE 802.11 series of standards for WLAN. There are no arrangements in place for RLANs in the 5350–5470 MHz and 5850–5925 MHz bands in Australia.</w:t>
            </w:r>
          </w:p>
          <w:p w14:paraId="5010059A" w14:textId="77777777" w:rsidR="00B747E1" w:rsidRDefault="00B747E1" w:rsidP="00EE6120">
            <w:pPr>
              <w:rPr>
                <w:rFonts w:cs="Arial"/>
              </w:rPr>
            </w:pPr>
            <w:r>
              <w:rPr>
                <w:rFonts w:cs="Arial"/>
              </w:rPr>
              <w:t xml:space="preserve">Numerous countries around the world have or are considering identifying the 5850–5925 MHz band for Intelligent Transport Systems (ITS). </w:t>
            </w:r>
          </w:p>
          <w:p w14:paraId="11B3B5A5" w14:textId="77777777" w:rsidR="00B747E1" w:rsidRDefault="00B747E1" w:rsidP="00EE6120">
            <w:pPr>
              <w:pStyle w:val="BodySubHeader"/>
            </w:pPr>
            <w:r>
              <w:t>Recent developments</w:t>
            </w:r>
          </w:p>
          <w:p w14:paraId="364C4678" w14:textId="77777777" w:rsidR="00B747E1" w:rsidRDefault="00B747E1" w:rsidP="00EE6120">
            <w:pPr>
              <w:spacing w:after="80"/>
            </w:pPr>
            <w:r>
              <w:t>ITU-R Working Party 5A is continuing work towards WRC-19 agenda item 1.16. Australia has submitted a number of contributions providing the regulatory background to the operation of WAS/RLANs and other input regarding the 5150–5250 MHz segment. Working documents towards preliminary draft new reports are being developed on:</w:t>
            </w:r>
          </w:p>
          <w:p w14:paraId="27384708" w14:textId="77777777" w:rsidR="00B747E1" w:rsidRDefault="00B747E1" w:rsidP="00EE6120">
            <w:pPr>
              <w:pStyle w:val="ListBullet"/>
              <w:numPr>
                <w:ilvl w:val="0"/>
                <w:numId w:val="1"/>
              </w:numPr>
            </w:pPr>
            <w:r>
              <w:t>proposed additional mitigation techniques to facilitate sharing between RLAN systems and incumbent services</w:t>
            </w:r>
          </w:p>
          <w:p w14:paraId="3509C4CA" w14:textId="77777777" w:rsidR="00B747E1" w:rsidRDefault="00B747E1" w:rsidP="00EE6120">
            <w:pPr>
              <w:pStyle w:val="ListBullet"/>
              <w:numPr>
                <w:ilvl w:val="0"/>
                <w:numId w:val="1"/>
              </w:numPr>
            </w:pPr>
            <w:r>
              <w:t>technical characteristics and operational requirements of WAS/RLAN in the 5 GHz frequency range.</w:t>
            </w:r>
          </w:p>
          <w:p w14:paraId="52CF4CC7" w14:textId="77777777" w:rsidR="00B747E1" w:rsidRDefault="00B747E1" w:rsidP="00EE6120">
            <w:pPr>
              <w:pStyle w:val="ListBullet"/>
              <w:numPr>
                <w:ilvl w:val="0"/>
                <w:numId w:val="1"/>
              </w:numPr>
            </w:pPr>
            <w:r>
              <w:lastRenderedPageBreak/>
              <w:t>use of aggregate RLAN measurements from airborne and terrestrial platforms to support studies under WRC-19 agenda item 1.16</w:t>
            </w:r>
          </w:p>
          <w:p w14:paraId="75C14E7F" w14:textId="77777777" w:rsidR="00B747E1" w:rsidRDefault="00B747E1" w:rsidP="00EE6120">
            <w:pPr>
              <w:pStyle w:val="ListBulletLast"/>
              <w:numPr>
                <w:ilvl w:val="0"/>
                <w:numId w:val="1"/>
              </w:numPr>
              <w:spacing w:after="120"/>
            </w:pPr>
            <w:r>
              <w:t>sharing and compatibility studies of WAS/RLAN in the 5 GHz frequency range.</w:t>
            </w:r>
          </w:p>
          <w:p w14:paraId="13ED6709" w14:textId="77777777" w:rsidR="00B747E1" w:rsidRDefault="00B747E1" w:rsidP="00EE6120">
            <w:pPr>
              <w:spacing w:after="120"/>
              <w:rPr>
                <w:rFonts w:cs="Arial"/>
              </w:rPr>
            </w:pPr>
            <w:r>
              <w:t>Working Party 5A is aiming to finalise these reports by the end of 2018.</w:t>
            </w:r>
            <w:r>
              <w:rPr>
                <w:rFonts w:cs="Arial"/>
              </w:rPr>
              <w:t xml:space="preserve"> </w:t>
            </w:r>
          </w:p>
          <w:p w14:paraId="1596725A" w14:textId="77777777" w:rsidR="00B747E1" w:rsidRDefault="00B747E1" w:rsidP="00EE6120">
            <w:r>
              <w:rPr>
                <w:rFonts w:cs="Arial"/>
              </w:rPr>
              <w:t xml:space="preserve">In December 2017, the ACMA </w:t>
            </w:r>
            <w:r w:rsidRPr="00D14B2A">
              <w:rPr>
                <w:rFonts w:cs="Arial"/>
              </w:rPr>
              <w:t xml:space="preserve">finalised the Radiocommunications (Intelligent Transport Systems) Class Licence 2017 </w:t>
            </w:r>
            <w:r>
              <w:rPr>
                <w:rFonts w:cs="Arial"/>
              </w:rPr>
              <w:t>to</w:t>
            </w:r>
            <w:r w:rsidRPr="00D14B2A">
              <w:rPr>
                <w:rFonts w:cs="Arial"/>
              </w:rPr>
              <w:t xml:space="preserve"> support the use of complying wireless </w:t>
            </w:r>
            <w:r>
              <w:rPr>
                <w:rFonts w:cs="Arial"/>
              </w:rPr>
              <w:t xml:space="preserve">ITS </w:t>
            </w:r>
            <w:r w:rsidRPr="00D14B2A">
              <w:rPr>
                <w:rFonts w:cs="Arial"/>
              </w:rPr>
              <w:t>technologies and devices</w:t>
            </w:r>
            <w:r>
              <w:rPr>
                <w:rFonts w:cs="Arial"/>
              </w:rPr>
              <w:t xml:space="preserve"> in the frequency range 5855–5925 MHz.</w:t>
            </w:r>
          </w:p>
          <w:p w14:paraId="47ADB55F" w14:textId="77777777" w:rsidR="00B747E1" w:rsidRDefault="00B747E1" w:rsidP="00EE6120">
            <w:pPr>
              <w:pStyle w:val="BodySubHeader"/>
            </w:pPr>
            <w:r>
              <w:t>Next steps</w:t>
            </w:r>
          </w:p>
          <w:p w14:paraId="5BBBF319" w14:textId="6E13CCB5" w:rsidR="00B747E1" w:rsidRDefault="00B747E1" w:rsidP="00EE6120">
            <w:pPr>
              <w:spacing w:after="120"/>
            </w:pPr>
            <w:r>
              <w:t>The ACMA</w:t>
            </w:r>
            <w:r w:rsidDel="009465F5">
              <w:t xml:space="preserve"> </w:t>
            </w:r>
            <w:r>
              <w:t>will continue to monitor and, where appropriate, engage with stakeholders via the usual international preparatory process to develop Australian positions on WRC-19 agenda item 1.16</w:t>
            </w:r>
            <w:r>
              <w:rPr>
                <w:rFonts w:cs="Arial"/>
              </w:rPr>
              <w:t xml:space="preserve">. When appropriate, it will develop individual positions on each of the bands being studied and potentially contribute to international sharing and compatibility studies </w:t>
            </w:r>
            <w:r>
              <w:t>on issues/bands of most interest to Australia, as determined through t</w:t>
            </w:r>
            <w:r>
              <w:rPr>
                <w:rFonts w:cs="Arial"/>
              </w:rPr>
              <w:t>he WRC-19 agenda item 1.16 coordination group. The ACMA also aims to have representatives attend ITU-R Working Party 5A meetings, as appropriate.</w:t>
            </w:r>
          </w:p>
        </w:tc>
        <w:tc>
          <w:tcPr>
            <w:tcW w:w="1429" w:type="dxa"/>
          </w:tcPr>
          <w:p w14:paraId="08A13BBC" w14:textId="77777777" w:rsidR="00B747E1" w:rsidRDefault="00B747E1" w:rsidP="00EE6120">
            <w:pPr>
              <w:pStyle w:val="TableBody"/>
              <w:rPr>
                <w:rFonts w:cs="Arial"/>
              </w:rPr>
            </w:pPr>
            <w:r>
              <w:rPr>
                <w:rFonts w:cs="Arial"/>
              </w:rPr>
              <w:lastRenderedPageBreak/>
              <w:t>Bands being studied under WRC-19 agenda item 1.16:</w:t>
            </w:r>
          </w:p>
          <w:p w14:paraId="5469E29E" w14:textId="2C7D5811" w:rsidR="00B747E1" w:rsidRDefault="00B747E1" w:rsidP="00EE6120">
            <w:r>
              <w:rPr>
                <w:rFonts w:cs="Arial"/>
              </w:rPr>
              <w:t>5150–5350 MHz, 5350–5470 MHz, 5725–5850 MHz and 5850–5925 MHz</w:t>
            </w:r>
          </w:p>
        </w:tc>
      </w:tr>
      <w:tr w:rsidR="00B747E1" w14:paraId="7EE444E1" w14:textId="77777777" w:rsidTr="00EE6120">
        <w:tc>
          <w:tcPr>
            <w:tcW w:w="1413" w:type="dxa"/>
          </w:tcPr>
          <w:p w14:paraId="51F9D891" w14:textId="77777777" w:rsidR="00B747E1" w:rsidRDefault="00B747E1" w:rsidP="00EE6120">
            <w:pPr>
              <w:pStyle w:val="TableBody"/>
              <w:rPr>
                <w:rFonts w:cs="Arial"/>
              </w:rPr>
            </w:pPr>
            <w:r>
              <w:rPr>
                <w:rFonts w:cs="Arial"/>
              </w:rPr>
              <w:t>Bands being studied under WRC-19 agenda item 1.13:</w:t>
            </w:r>
          </w:p>
          <w:p w14:paraId="76417D3B" w14:textId="78F61CC5" w:rsidR="00B747E1" w:rsidRDefault="00B747E1" w:rsidP="00EE6120">
            <w:r>
              <w:rPr>
                <w:rFonts w:cs="Arial"/>
              </w:rPr>
              <w:t xml:space="preserve">31.8–33.4 GHz, </w:t>
            </w:r>
            <w:r>
              <w:rPr>
                <w:rFonts w:cs="Arial"/>
              </w:rPr>
              <w:br/>
              <w:t xml:space="preserve">37–40.5 GHz, </w:t>
            </w:r>
            <w:r>
              <w:rPr>
                <w:rFonts w:cs="Arial"/>
              </w:rPr>
              <w:br/>
              <w:t xml:space="preserve">40.5–42.5 GHz, 42.5–43.5 GHz, </w:t>
            </w:r>
            <w:r>
              <w:rPr>
                <w:rFonts w:cs="Arial"/>
              </w:rPr>
              <w:br/>
              <w:t xml:space="preserve">45.5–47 GHz, </w:t>
            </w:r>
            <w:r>
              <w:rPr>
                <w:rFonts w:cs="Arial"/>
              </w:rPr>
              <w:br/>
              <w:t xml:space="preserve">47–47.2 GHz, </w:t>
            </w:r>
            <w:r>
              <w:rPr>
                <w:rFonts w:cs="Arial"/>
              </w:rPr>
              <w:br/>
              <w:t xml:space="preserve">47.2–50.2 GHz, </w:t>
            </w:r>
            <w:r>
              <w:rPr>
                <w:rFonts w:cs="Arial"/>
              </w:rPr>
              <w:br/>
              <w:t xml:space="preserve">50.4–52.6 GHz, </w:t>
            </w:r>
            <w:r>
              <w:rPr>
                <w:rFonts w:cs="Arial"/>
              </w:rPr>
              <w:br/>
              <w:t>66–76 GHz and</w:t>
            </w:r>
            <w:r>
              <w:rPr>
                <w:rFonts w:cs="Arial"/>
              </w:rPr>
              <w:br/>
              <w:t>81–86 GHz</w:t>
            </w:r>
            <w:r>
              <w:rPr>
                <w:rFonts w:ascii="Times New Roman" w:hAnsi="Times New Roman"/>
                <w:sz w:val="24"/>
              </w:rPr>
              <w:t xml:space="preserve"> </w:t>
            </w:r>
          </w:p>
        </w:tc>
        <w:tc>
          <w:tcPr>
            <w:tcW w:w="4819" w:type="dxa"/>
          </w:tcPr>
          <w:p w14:paraId="4BC9D120" w14:textId="77777777" w:rsidR="00B747E1" w:rsidRDefault="00B747E1" w:rsidP="00EE6120">
            <w:pPr>
              <w:spacing w:after="120"/>
            </w:pPr>
            <w:r>
              <w:t xml:space="preserve">WRC-19 agenda item 1.13 is to consider identification of frequency bands for the future development of </w:t>
            </w:r>
            <w:r w:rsidRPr="00BB38F9">
              <w:t>IMT,</w:t>
            </w:r>
            <w:r>
              <w:t xml:space="preserve"> including possible additional allocations to the mobile service on a primary basis. This agenda item is widely acknowledged to be focusing on spectrum harmonisation requirements for 5G mobile broadband technologies. </w:t>
            </w:r>
          </w:p>
          <w:p w14:paraId="18688D26" w14:textId="77777777" w:rsidR="00B747E1" w:rsidRDefault="00B747E1" w:rsidP="00EE6120">
            <w:pPr>
              <w:spacing w:after="120"/>
            </w:pPr>
            <w:r>
              <w:t xml:space="preserve">The frequency bands to be considered under this agenda item are 24.25–27.5 GHz, 37–40.5 GHz, 42.5–43.5 GHz, 45.5–47 GHz, 47.2–50.2 GHz, 50.4–52.6 GHz, 66–76 GHz and 81–86 GHz, which have allocations to the mobile service on a primary basis; and 31.8–33.4 GHz, 40.5–42.5 GHz and 47–47.2 GHz, which may require additional allocations to the mobile service on a primary basis. </w:t>
            </w:r>
          </w:p>
          <w:p w14:paraId="7DFBA58C" w14:textId="77777777" w:rsidR="00B747E1" w:rsidRDefault="00B747E1" w:rsidP="00EE6120">
            <w:r>
              <w:t xml:space="preserve">There is strong interest domestically and internationally, particularly in Region 3 countries such as South Korea, Japan and China. In its </w:t>
            </w:r>
            <w:hyperlink r:id="rId34" w:history="1">
              <w:r>
                <w:rPr>
                  <w:rStyle w:val="Hyperlink"/>
                  <w:rFonts w:eastAsiaTheme="majorEastAsia"/>
                </w:rPr>
                <w:t>draft opinion on spectrum related aspects for next-generation wireless systems (5G)</w:t>
              </w:r>
            </w:hyperlink>
            <w:r>
              <w:t>, released 14 June 2016, the Radio Spectrum Policy Group</w:t>
            </w:r>
            <w:r>
              <w:rPr>
                <w:rStyle w:val="FootnoteReference"/>
              </w:rPr>
              <w:footnoteReference w:id="22"/>
            </w:r>
            <w:r>
              <w:t xml:space="preserve"> (RSPG) stated that considerations of bands above 6 GHz for </w:t>
            </w:r>
            <w:r>
              <w:lastRenderedPageBreak/>
              <w:t>5G should be limited to the bands listed in WRC-19 agenda item 1.13 in order to strengthen the global harmonisation opportunities, in particular, the bands 24.5–27.5 GHz, 31.8–33.4 GHz and 40.5–43.5 GHz. There are wide and varied ranges of incumbency and co-existence issues associated with each of these bands, which will need to be considered if the bands were to be investigated domestically for mobile broadband in the future.</w:t>
            </w:r>
          </w:p>
          <w:p w14:paraId="3A0AD549" w14:textId="77777777" w:rsidR="00B747E1" w:rsidRDefault="00B747E1" w:rsidP="00EE6120">
            <w:pPr>
              <w:pStyle w:val="BodySubHeader"/>
            </w:pPr>
            <w:r>
              <w:t>Recent developments</w:t>
            </w:r>
          </w:p>
          <w:p w14:paraId="4CA51AE0" w14:textId="77777777" w:rsidR="00B747E1" w:rsidRDefault="00B747E1" w:rsidP="00EE6120">
            <w:pPr>
              <w:spacing w:after="120"/>
              <w:rPr>
                <w:bCs/>
                <w:lang w:eastAsia="ja-JP"/>
              </w:rPr>
            </w:pPr>
            <w:r>
              <w:t>ITU-R Task Group 5/1 (TG 5/1) has continued its work to address WRC-19 agenda item 1.13 under its</w:t>
            </w:r>
            <w:r>
              <w:rPr>
                <w:bCs/>
                <w:lang w:eastAsia="ja-JP"/>
              </w:rPr>
              <w:t xml:space="preserve"> Terms of Reference (</w:t>
            </w:r>
            <w:hyperlink r:id="rId35" w:history="1">
              <w:r>
                <w:rPr>
                  <w:rStyle w:val="Hyperlink"/>
                  <w:rFonts w:eastAsiaTheme="majorEastAsia"/>
                  <w:lang w:eastAsia="ja-JP"/>
                </w:rPr>
                <w:t>CA/226</w:t>
              </w:r>
              <w:r>
                <w:rPr>
                  <w:rStyle w:val="Hyperlink"/>
                  <w:rFonts w:eastAsiaTheme="majorEastAsia"/>
                </w:rPr>
                <w:t xml:space="preserve"> (Annex 9)</w:t>
              </w:r>
            </w:hyperlink>
            <w:r>
              <w:rPr>
                <w:bCs/>
                <w:lang w:eastAsia="ja-JP"/>
              </w:rPr>
              <w:t xml:space="preserve">). Australia has contributed to the meetings of TG 5/1 on the issue of IMT coexistence with FSS uplinks in the 24.25–27.5 GHz band (see documents </w:t>
            </w:r>
            <w:hyperlink r:id="rId36" w:history="1">
              <w:r>
                <w:rPr>
                  <w:rStyle w:val="Hyperlink"/>
                  <w:rFonts w:eastAsiaTheme="majorEastAsia"/>
                  <w:bCs/>
                  <w:lang w:eastAsia="ja-JP"/>
                </w:rPr>
                <w:t>5-1/76</w:t>
              </w:r>
            </w:hyperlink>
            <w:r>
              <w:rPr>
                <w:rStyle w:val="Hyperlink"/>
                <w:rFonts w:eastAsiaTheme="majorEastAsia"/>
                <w:bCs/>
                <w:lang w:eastAsia="ja-JP"/>
              </w:rPr>
              <w:t>,</w:t>
            </w:r>
            <w:r>
              <w:rPr>
                <w:bCs/>
                <w:lang w:eastAsia="ja-JP"/>
              </w:rPr>
              <w:t xml:space="preserve"> </w:t>
            </w:r>
            <w:hyperlink r:id="rId37" w:history="1">
              <w:r>
                <w:rPr>
                  <w:rStyle w:val="Hyperlink"/>
                  <w:rFonts w:eastAsiaTheme="majorEastAsia"/>
                  <w:bCs/>
                  <w:lang w:eastAsia="ja-JP"/>
                </w:rPr>
                <w:t>5-1/117</w:t>
              </w:r>
            </w:hyperlink>
            <w:r>
              <w:rPr>
                <w:rStyle w:val="Hyperlink"/>
                <w:rFonts w:eastAsiaTheme="majorEastAsia"/>
                <w:bCs/>
                <w:lang w:eastAsia="ja-JP"/>
              </w:rPr>
              <w:t>,</w:t>
            </w:r>
            <w:r>
              <w:t xml:space="preserve"> </w:t>
            </w:r>
            <w:hyperlink r:id="rId38" w:history="1">
              <w:r w:rsidRPr="00E10A3B">
                <w:rPr>
                  <w:rStyle w:val="Hyperlink"/>
                </w:rPr>
                <w:t>5-1/193</w:t>
              </w:r>
            </w:hyperlink>
            <w:r>
              <w:t xml:space="preserve"> and </w:t>
            </w:r>
            <w:hyperlink r:id="rId39" w:history="1">
              <w:r w:rsidRPr="00E10A3B">
                <w:rPr>
                  <w:rStyle w:val="Hyperlink"/>
                </w:rPr>
                <w:t>5-1/290</w:t>
              </w:r>
            </w:hyperlink>
            <w:r>
              <w:t>)</w:t>
            </w:r>
            <w:r>
              <w:rPr>
                <w:bCs/>
                <w:lang w:eastAsia="ja-JP"/>
              </w:rPr>
              <w:t xml:space="preserve">. </w:t>
            </w:r>
          </w:p>
          <w:p w14:paraId="7504D68B" w14:textId="77777777" w:rsidR="00B747E1" w:rsidRDefault="00B747E1" w:rsidP="00EE6120">
            <w:pPr>
              <w:spacing w:after="120"/>
            </w:pPr>
            <w:r>
              <w:t xml:space="preserve">However, a number of other organisations internationally are considering frequency bands outside those listed for consideration in WRC-19 agenda item 1.13 for the next generation of IMT. </w:t>
            </w:r>
          </w:p>
          <w:p w14:paraId="55A78429" w14:textId="77777777" w:rsidR="00B747E1" w:rsidRDefault="00B747E1" w:rsidP="00EE6120">
            <w:r>
              <w:t>At APG19-3, a common view developed, expressing interest in the band 24.5–27.5 GHz. A number of APT member nations also expressed interest in the bands 31.8–33.4 GHz and 37–43.5 GHz.</w:t>
            </w:r>
          </w:p>
          <w:p w14:paraId="168607DE" w14:textId="77777777" w:rsidR="00B747E1" w:rsidRDefault="00B747E1" w:rsidP="00EE6120">
            <w:pPr>
              <w:pStyle w:val="BodySubHeader"/>
            </w:pPr>
            <w:r>
              <w:t>Next steps</w:t>
            </w:r>
          </w:p>
          <w:p w14:paraId="2EE88380" w14:textId="77777777" w:rsidR="00B747E1" w:rsidRDefault="00B747E1" w:rsidP="00EE6120">
            <w:pPr>
              <w:spacing w:after="120"/>
            </w:pPr>
            <w:r>
              <w:t>The ACMA will continue to engage with stakeholders via the usual international preparatory process to develop Australian positions on WRC</w:t>
            </w:r>
            <w:r>
              <w:noBreakHyphen/>
              <w:t>19 agenda item 1.13</w:t>
            </w:r>
            <w:r>
              <w:rPr>
                <w:rFonts w:cs="Arial"/>
              </w:rPr>
              <w:t xml:space="preserve">. When appropriate, it will develop individual positions on each of the bands being studied and potentially contribute to international sharing and compatibility studies </w:t>
            </w:r>
            <w:r>
              <w:t>on issues/bands of most interest to Australia as determined through t</w:t>
            </w:r>
            <w:r>
              <w:rPr>
                <w:rFonts w:cs="Arial"/>
              </w:rPr>
              <w:t xml:space="preserve">he WRC-19 agenda item 1.13 coordination group. Representatives have attended all ITU-R Task Group 5/1 meetings so far and it is intended that representation continue as appropriate. </w:t>
            </w:r>
            <w:r>
              <w:t xml:space="preserve">Developments in Europe and other regions/countries (such as the US) will be monitored for possible early implementation bands for 5G. Early implementation in Australia will depend on factors such as the location, type and number of incumbent services in the band, whether adequate interference management (or sharing) frameworks can be developed, and whether the development of economies of scale are likely. </w:t>
            </w:r>
          </w:p>
          <w:p w14:paraId="290993A7" w14:textId="77777777" w:rsidR="00B747E1" w:rsidRDefault="00B747E1" w:rsidP="00EE6120">
            <w:pPr>
              <w:spacing w:after="120"/>
            </w:pPr>
            <w:r>
              <w:t xml:space="preserve">The 24.25–27.5 GHz band has been advanced to the </w:t>
            </w:r>
            <w:r>
              <w:rPr>
                <w:i/>
              </w:rPr>
              <w:t>initial investigation</w:t>
            </w:r>
            <w:r>
              <w:t xml:space="preserve"> stage of the process for consideration of additional spectrum for mobile broadband services. </w:t>
            </w:r>
          </w:p>
          <w:p w14:paraId="496E4295" w14:textId="6F723273" w:rsidR="00B747E1" w:rsidRDefault="00B747E1" w:rsidP="00EE6120">
            <w:pPr>
              <w:spacing w:after="120"/>
            </w:pPr>
            <w:r>
              <w:lastRenderedPageBreak/>
              <w:t xml:space="preserve">For 66–76 GHz, see related work on 64–71 GHz outlined on the </w:t>
            </w:r>
            <w:r w:rsidRPr="0045598D">
              <w:t xml:space="preserve">low interference potential devices </w:t>
            </w:r>
            <w:r>
              <w:t xml:space="preserve">class licence </w:t>
            </w:r>
            <w:r w:rsidRPr="0045598D">
              <w:t xml:space="preserve">in the </w:t>
            </w:r>
            <w:r w:rsidRPr="00BE6916">
              <w:rPr>
                <w:i/>
              </w:rPr>
              <w:t>Optimising established planning frameworks</w:t>
            </w:r>
            <w:r w:rsidRPr="0045598D">
              <w:t xml:space="preserve"> section</w:t>
            </w:r>
            <w:r>
              <w:t>.</w:t>
            </w:r>
          </w:p>
        </w:tc>
        <w:tc>
          <w:tcPr>
            <w:tcW w:w="1429" w:type="dxa"/>
          </w:tcPr>
          <w:p w14:paraId="25FD3B9A" w14:textId="77777777" w:rsidR="00B747E1" w:rsidRDefault="00B747E1" w:rsidP="00EE6120"/>
        </w:tc>
      </w:tr>
      <w:tr w:rsidR="00B747E1" w14:paraId="6A6EFB86" w14:textId="77777777" w:rsidTr="00EE6120">
        <w:tc>
          <w:tcPr>
            <w:tcW w:w="1413" w:type="dxa"/>
          </w:tcPr>
          <w:p w14:paraId="44C430D7" w14:textId="594EEB7A" w:rsidR="00B747E1" w:rsidRDefault="00B747E1" w:rsidP="00EE6120">
            <w:r w:rsidRPr="00CA45D7">
              <w:lastRenderedPageBreak/>
              <w:t>N</w:t>
            </w:r>
            <w:r>
              <w:t>on-</w:t>
            </w:r>
            <w:r w:rsidRPr="00C62009">
              <w:t>agenda item</w:t>
            </w:r>
            <w:r w:rsidRPr="00CA45D7">
              <w:t xml:space="preserve"> 1.13 b</w:t>
            </w:r>
            <w:r w:rsidRPr="00947F88">
              <w:t>ands being considered for 5G</w:t>
            </w:r>
          </w:p>
        </w:tc>
        <w:tc>
          <w:tcPr>
            <w:tcW w:w="4819" w:type="dxa"/>
          </w:tcPr>
          <w:p w14:paraId="40AEAC01" w14:textId="77777777" w:rsidR="00B747E1" w:rsidRDefault="00B747E1" w:rsidP="00EE6120">
            <w:pPr>
              <w:spacing w:after="120"/>
            </w:pPr>
            <w:r>
              <w:t>In July 2016, the FCC in the US announced that the 27.5–28.35 GHz, 37–38.6 GHz, 38.6–40 GHz and 64–71 GHz bands would be made available for licensed, unlicensed and shared use for future IMT services.</w:t>
            </w:r>
            <w:r>
              <w:rPr>
                <w:rStyle w:val="FootnoteReference"/>
              </w:rPr>
              <w:footnoteReference w:id="23"/>
            </w:r>
            <w:r>
              <w:t xml:space="preserve"> The FCC also released a Further Notice of Proposed Rule Making considering the bands 24.25–24.45 GHz, 24.75–25.25 GHz, 31.8–33.4 GHz, 42–42.5 GHz, 47.2–50.2 GHz, 50.4–52.6 GHz, 71–76 GHz, 81–86 GHz, as well as bands above 95 GHz for future IMT services.</w:t>
            </w:r>
            <w:r>
              <w:rPr>
                <w:rStyle w:val="FootnoteReference"/>
              </w:rPr>
              <w:footnoteReference w:id="24"/>
            </w:r>
          </w:p>
          <w:p w14:paraId="080976D0" w14:textId="77777777" w:rsidR="00B747E1" w:rsidRDefault="00B747E1" w:rsidP="00EE6120">
            <w:pPr>
              <w:spacing w:after="120"/>
            </w:pPr>
            <w:r>
              <w:t>Korea is also continuing its support of investigations of the frequency ranges 24.25–29.5 GHz, 31.8–33.4 GHz and 37–40.5 GHz.</w:t>
            </w:r>
            <w:r>
              <w:rPr>
                <w:rStyle w:val="FootnoteReference"/>
              </w:rPr>
              <w:footnoteReference w:id="25"/>
            </w:r>
            <w:r>
              <w:t xml:space="preserve"> </w:t>
            </w:r>
          </w:p>
          <w:p w14:paraId="6E1FB1DF" w14:textId="77777777" w:rsidR="00B747E1" w:rsidRDefault="00B747E1" w:rsidP="00EE6120">
            <w:pPr>
              <w:spacing w:after="120"/>
            </w:pPr>
            <w:r w:rsidRPr="00E46320">
              <w:rPr>
                <w:rFonts w:cs="Arial"/>
              </w:rPr>
              <w:t xml:space="preserve">Japan </w:t>
            </w:r>
            <w:r w:rsidRPr="00E46320">
              <w:rPr>
                <w:bCs/>
              </w:rPr>
              <w:t>is</w:t>
            </w:r>
            <w:r>
              <w:rPr>
                <w:bCs/>
              </w:rPr>
              <w:t xml:space="preserve"> investigating use of the 26.5–29.5 GHz; bands of interest for the </w:t>
            </w:r>
            <w:r w:rsidRPr="00E46320">
              <w:rPr>
                <w:rFonts w:cs="Arial"/>
              </w:rPr>
              <w:t>European</w:t>
            </w:r>
            <w:r w:rsidRPr="00E46320">
              <w:rPr>
                <w:bCs/>
              </w:rPr>
              <w:t xml:space="preserve"> Union</w:t>
            </w:r>
            <w:r>
              <w:rPr>
                <w:bCs/>
              </w:rPr>
              <w:t xml:space="preserve"> include 24.25–27.5 GHz and 40.5–43.5 GHz; and in </w:t>
            </w:r>
            <w:r w:rsidRPr="00E46320">
              <w:rPr>
                <w:rFonts w:cs="Arial"/>
              </w:rPr>
              <w:t>China</w:t>
            </w:r>
            <w:r>
              <w:rPr>
                <w:bCs/>
              </w:rPr>
              <w:t>, 24.25–27.5 GHz and 37–43.5 GHz is the focus of consideration.</w:t>
            </w:r>
          </w:p>
          <w:p w14:paraId="50F7AD93" w14:textId="77777777" w:rsidR="00B747E1" w:rsidRDefault="00B747E1" w:rsidP="00EE6120">
            <w:pPr>
              <w:spacing w:after="120"/>
            </w:pPr>
            <w:r>
              <w:rPr>
                <w:rFonts w:cs="Arial"/>
              </w:rPr>
              <w:t xml:space="preserve">Given the status of these countries as technology-developing nations, and their advanced consideration of these frequency bands outside the scope of WRC-19 agenda item 1.13, it is appropriate to include these frequency bands to the </w:t>
            </w:r>
            <w:r>
              <w:rPr>
                <w:rFonts w:cs="Arial"/>
                <w:i/>
              </w:rPr>
              <w:t xml:space="preserve">monitoring </w:t>
            </w:r>
            <w:r w:rsidRPr="001B1B7A">
              <w:rPr>
                <w:rFonts w:cs="Arial"/>
              </w:rPr>
              <w:t>stage</w:t>
            </w:r>
            <w:r>
              <w:t>.</w:t>
            </w:r>
          </w:p>
          <w:p w14:paraId="48CABA17" w14:textId="77777777" w:rsidR="00B747E1" w:rsidRDefault="00B747E1" w:rsidP="00EE6120">
            <w:pPr>
              <w:spacing w:after="120"/>
            </w:pPr>
            <w:r>
              <w:t xml:space="preserve">Where applicable bands that would otherwise be included in this general list are included as specific entries elsewhere in this paper (for example, 28 GHz and 60 GHz). </w:t>
            </w:r>
          </w:p>
          <w:p w14:paraId="2451EE75" w14:textId="77777777" w:rsidR="00B747E1" w:rsidRDefault="00B747E1" w:rsidP="00EE6120">
            <w:pPr>
              <w:pStyle w:val="BodySubHeader"/>
            </w:pPr>
            <w:r>
              <w:t>Recent developments</w:t>
            </w:r>
          </w:p>
          <w:p w14:paraId="7635B9C5" w14:textId="77777777" w:rsidR="00B747E1" w:rsidRPr="00757802" w:rsidRDefault="00B747E1" w:rsidP="00EE6120">
            <w:r>
              <w:t>None applicable.</w:t>
            </w:r>
          </w:p>
          <w:p w14:paraId="0624AE69" w14:textId="77777777" w:rsidR="00B747E1" w:rsidRDefault="00B747E1" w:rsidP="00EE6120">
            <w:pPr>
              <w:pStyle w:val="BodySubHeader"/>
            </w:pPr>
            <w:r>
              <w:t>Next steps</w:t>
            </w:r>
          </w:p>
          <w:p w14:paraId="48439EBA" w14:textId="77777777" w:rsidR="00B747E1" w:rsidRDefault="00B747E1" w:rsidP="00EE6120">
            <w:pPr>
              <w:spacing w:after="120"/>
              <w:rPr>
                <w:rFonts w:cs="Arial"/>
              </w:rPr>
            </w:pPr>
            <w:r>
              <w:rPr>
                <w:rFonts w:cs="Arial"/>
              </w:rPr>
              <w:t xml:space="preserve">The ACMA will monitor international developments on all bands being considered or already identified internationally for 5G/IMT. However, it is noted that one of the elements of the ACMA’s spectrum management strategy to address the growth in broadband capacity is engagement in international deliberations to influence the development of domestically-suitable internationally-harmonised spectrum options. The feasibility of early implementation in Australia will depend on factors </w:t>
            </w:r>
            <w:r>
              <w:rPr>
                <w:rFonts w:cs="Arial"/>
              </w:rPr>
              <w:lastRenderedPageBreak/>
              <w:t xml:space="preserve">such as the location, type and number of incumbent services in a band, whether adequate interference management (or sharing) frameworks can be developed, and whether the development of economies of scale are likely. </w:t>
            </w:r>
          </w:p>
          <w:p w14:paraId="35928A6A" w14:textId="652D2254" w:rsidR="00B747E1" w:rsidRDefault="00B747E1" w:rsidP="00EE6120">
            <w:pPr>
              <w:spacing w:after="120"/>
            </w:pPr>
            <w:r>
              <w:t>For 64–71 GHz, see related work on 64–71 GHz outlined on l</w:t>
            </w:r>
            <w:r w:rsidRPr="0045598D">
              <w:t xml:space="preserve">ow interference potential devices in the </w:t>
            </w:r>
            <w:r w:rsidRPr="00BE6916">
              <w:rPr>
                <w:i/>
              </w:rPr>
              <w:t>Optimising established planning frameworks</w:t>
            </w:r>
            <w:r>
              <w:t xml:space="preserve"> section.</w:t>
            </w:r>
          </w:p>
        </w:tc>
        <w:tc>
          <w:tcPr>
            <w:tcW w:w="1429" w:type="dxa"/>
          </w:tcPr>
          <w:p w14:paraId="51D4C3F9" w14:textId="77777777" w:rsidR="00B747E1" w:rsidRDefault="00B747E1" w:rsidP="00EE6120"/>
        </w:tc>
      </w:tr>
      <w:tr w:rsidR="00B747E1" w14:paraId="1B92F8FB" w14:textId="77777777" w:rsidTr="00EE6120">
        <w:tc>
          <w:tcPr>
            <w:tcW w:w="1413" w:type="dxa"/>
          </w:tcPr>
          <w:p w14:paraId="163365F3" w14:textId="4BFA2534" w:rsidR="00B747E1" w:rsidRDefault="00B747E1" w:rsidP="00EE6120">
            <w:r w:rsidRPr="00BD3820">
              <w:rPr>
                <w:rFonts w:cs="Arial"/>
              </w:rPr>
              <w:t>40/50 GHz</w:t>
            </w:r>
          </w:p>
        </w:tc>
        <w:tc>
          <w:tcPr>
            <w:tcW w:w="4819" w:type="dxa"/>
          </w:tcPr>
          <w:p w14:paraId="567213A1" w14:textId="77777777" w:rsidR="00B747E1" w:rsidRDefault="00B747E1" w:rsidP="00EE6120">
            <w:pPr>
              <w:spacing w:after="120"/>
            </w:pPr>
            <w:r>
              <w:t>In addition to interest in spectrum in this range for terrestrial broadband use as part of mmWave 5G, spectrum in the 40/50 GHz range</w:t>
            </w:r>
            <w:r w:rsidDel="00D12BB1">
              <w:t xml:space="preserve"> </w:t>
            </w:r>
            <w:r>
              <w:t xml:space="preserve">is also of increasing interest for satellite communications. Feedback has indicated that these bands could be used for both gateway and ubiquitous earth station use. The US has established a mix of arrangements supporting wireless broadband and satellite use on shared and exclusive use throughout these bands. However, Europe is focusing on slightly different bands in this range for terrestrial broadband to those established in the US, which overlap arrangements developed for satellite use. Therefore, there may be limited potential for global harmonisation in this range. </w:t>
            </w:r>
          </w:p>
          <w:p w14:paraId="7167FC39" w14:textId="77777777" w:rsidR="00B747E1" w:rsidRDefault="00B747E1" w:rsidP="00EE6120">
            <w:pPr>
              <w:pStyle w:val="BodySubHeader"/>
            </w:pPr>
            <w:r>
              <w:t>Next steps</w:t>
            </w:r>
          </w:p>
          <w:p w14:paraId="4CDAD8A5" w14:textId="3D4416C3" w:rsidR="00B747E1" w:rsidRDefault="00B747E1" w:rsidP="00EE6120">
            <w:pPr>
              <w:spacing w:after="120"/>
            </w:pPr>
            <w:r>
              <w:t>The ACMA will monitor developments in these bands. It is likely that it would be beneficial for any detailed consideration of the band for satellite communications to occur simultaneously with consideration of the bands for terrestrial wireless broadband.</w:t>
            </w:r>
          </w:p>
        </w:tc>
        <w:tc>
          <w:tcPr>
            <w:tcW w:w="1429" w:type="dxa"/>
          </w:tcPr>
          <w:p w14:paraId="02B602B8" w14:textId="77777777" w:rsidR="00B747E1" w:rsidRDefault="00B747E1" w:rsidP="00EE6120"/>
        </w:tc>
      </w:tr>
    </w:tbl>
    <w:p w14:paraId="470C9C99" w14:textId="77777777" w:rsidR="00F03207" w:rsidRDefault="00F03207" w:rsidP="00EE6120">
      <w:pPr>
        <w:pStyle w:val="ACMASpaceaftertable"/>
      </w:pPr>
    </w:p>
    <w:p w14:paraId="1074BA92" w14:textId="77777777" w:rsidR="00312848" w:rsidRDefault="00294C5C" w:rsidP="0037046B">
      <w:pPr>
        <w:pStyle w:val="ACMATableHeader"/>
        <w:keepNext/>
        <w:keepLines/>
      </w:pPr>
      <w:bookmarkStart w:id="230" w:name="_Toc510104947"/>
      <w:bookmarkStart w:id="231" w:name="_Toc510105744"/>
      <w:r>
        <w:lastRenderedPageBreak/>
        <w:t>Initial investigation</w:t>
      </w:r>
      <w:bookmarkEnd w:id="230"/>
      <w:bookmarkEnd w:id="231"/>
    </w:p>
    <w:tbl>
      <w:tblPr>
        <w:tblStyle w:val="TableGrid"/>
        <w:tblW w:w="4965"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initial investigation phase."/>
      </w:tblPr>
      <w:tblGrid>
        <w:gridCol w:w="1369"/>
        <w:gridCol w:w="4920"/>
        <w:gridCol w:w="1318"/>
      </w:tblGrid>
      <w:tr w:rsidR="002E3B22" w14:paraId="2F6C058B" w14:textId="77777777" w:rsidTr="00DD279F">
        <w:trPr>
          <w:trHeight w:val="361"/>
          <w:tblHeader/>
        </w:trPr>
        <w:tc>
          <w:tcPr>
            <w:tcW w:w="900"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9261E1F" w14:textId="77777777" w:rsidR="002E3B22" w:rsidRDefault="002E3B22" w:rsidP="00B747E1">
            <w:pPr>
              <w:pStyle w:val="TableHeading"/>
            </w:pPr>
            <w:r>
              <w:t>Key projects</w:t>
            </w:r>
          </w:p>
        </w:tc>
        <w:tc>
          <w:tcPr>
            <w:tcW w:w="32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65E761B" w14:textId="77777777" w:rsidR="002E3B22" w:rsidRDefault="002E3B22" w:rsidP="00B747E1">
            <w:pPr>
              <w:pStyle w:val="TableHeading"/>
            </w:pPr>
            <w:r w:rsidRPr="00B747E1">
              <w:t>Activity</w:t>
            </w:r>
          </w:p>
        </w:tc>
        <w:tc>
          <w:tcPr>
            <w:tcW w:w="866"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0E5EAC3" w14:textId="77777777" w:rsidR="002E3B22" w:rsidRDefault="002E3B22" w:rsidP="00B747E1">
            <w:pPr>
              <w:pStyle w:val="TableHeading"/>
            </w:pPr>
            <w:r>
              <w:t>Milestones</w:t>
            </w:r>
          </w:p>
        </w:tc>
      </w:tr>
      <w:tr w:rsidR="003E3559" w14:paraId="7BA742B0"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5E1D8301" w14:textId="77777777" w:rsidR="003E3559" w:rsidRPr="00BD3820" w:rsidRDefault="00746F0C" w:rsidP="0037046B">
            <w:pPr>
              <w:keepNext/>
              <w:keepLines/>
              <w:spacing w:after="0" w:line="240" w:lineRule="auto"/>
            </w:pPr>
            <w:r>
              <w:t xml:space="preserve"> </w:t>
            </w:r>
            <w:r w:rsidR="003515BA">
              <w:rPr>
                <w:noProof/>
              </w:rPr>
              <w:drawing>
                <wp:inline distT="0" distB="0" distL="0" distR="0" wp14:anchorId="336993B8" wp14:editId="7454BDE0">
                  <wp:extent cx="207010" cy="152400"/>
                  <wp:effectExtent l="0" t="0" r="2540" b="0"/>
                  <wp:docPr id="26" name="Picture 26" descr="New content fla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t xml:space="preserve"> ‘</w:t>
            </w:r>
            <w:r w:rsidR="003E3559" w:rsidRPr="00BD3820">
              <w:t>Extended MSS L</w:t>
            </w:r>
            <w:r w:rsidR="00C80011">
              <w:t>-</w:t>
            </w:r>
            <w:r w:rsidR="003E3559" w:rsidRPr="00BD3820">
              <w:t xml:space="preserve">band’ </w:t>
            </w:r>
          </w:p>
          <w:p w14:paraId="2D37B194" w14:textId="77777777" w:rsidR="003E3559" w:rsidRPr="003E3559" w:rsidRDefault="003E3559" w:rsidP="0037046B">
            <w:pPr>
              <w:keepNext/>
              <w:keepLines/>
              <w:spacing w:after="0" w:line="240" w:lineRule="auto"/>
            </w:pPr>
            <w:r w:rsidRPr="003E3559" w:rsidDel="00DA6C55">
              <w:t>(1518</w:t>
            </w:r>
            <w:r w:rsidR="00C8721B">
              <w:t>–</w:t>
            </w:r>
            <w:r w:rsidRPr="003E3559" w:rsidDel="00DA6C55">
              <w:t>1525 and 1668</w:t>
            </w:r>
            <w:r w:rsidR="00C8721B">
              <w:t>–</w:t>
            </w:r>
            <w:r w:rsidRPr="003E3559" w:rsidDel="00DA6C55">
              <w:t>1675 MHz)</w:t>
            </w:r>
          </w:p>
        </w:tc>
        <w:tc>
          <w:tcPr>
            <w:tcW w:w="3234" w:type="pct"/>
            <w:tcBorders>
              <w:top w:val="single" w:sz="4" w:space="0" w:color="auto"/>
              <w:left w:val="single" w:sz="4" w:space="0" w:color="auto"/>
              <w:bottom w:val="single" w:sz="4" w:space="0" w:color="auto"/>
              <w:right w:val="single" w:sz="4" w:space="0" w:color="auto"/>
            </w:tcBorders>
          </w:tcPr>
          <w:p w14:paraId="4CA44A0A" w14:textId="77777777" w:rsidR="003E3559" w:rsidRPr="00C62009" w:rsidRDefault="001B64BF" w:rsidP="0037046B">
            <w:pPr>
              <w:keepNext/>
              <w:keepLines/>
              <w:spacing w:after="120"/>
            </w:pPr>
            <w:r w:rsidRPr="00C62009">
              <w:t xml:space="preserve">WRC-03 and </w:t>
            </w:r>
            <w:r w:rsidR="003E3559" w:rsidRPr="00C62009">
              <w:t xml:space="preserve">WRC-07 allocated additional spectrum to the mobile satellite service (MSS) to </w:t>
            </w:r>
            <w:r w:rsidR="00E504AE" w:rsidRPr="00C62009">
              <w:t>complement</w:t>
            </w:r>
            <w:r w:rsidR="003E3559" w:rsidRPr="00C62009">
              <w:t xml:space="preserve"> existing ‘L</w:t>
            </w:r>
            <w:r w:rsidR="00C80011" w:rsidRPr="00C62009">
              <w:t>-</w:t>
            </w:r>
            <w:r w:rsidR="003E3559" w:rsidRPr="00C62009">
              <w:t>band’ allocations used by numerous satellite operators. The upper and lower frequency ranges also ha</w:t>
            </w:r>
            <w:r w:rsidRPr="00C62009">
              <w:t>ve</w:t>
            </w:r>
            <w:r w:rsidR="003E3559" w:rsidRPr="00C62009">
              <w:t xml:space="preserve"> mobile and fixed allocations</w:t>
            </w:r>
            <w:r w:rsidR="00312848" w:rsidRPr="00C62009">
              <w:t>,</w:t>
            </w:r>
            <w:r w:rsidR="003E3559" w:rsidRPr="00C62009">
              <w:t xml:space="preserve"> while the upper band also has various meteorological, radioastronomy and space research service allocations. In Australia</w:t>
            </w:r>
            <w:r w:rsidR="00312848" w:rsidRPr="00C62009">
              <w:t>,</w:t>
            </w:r>
            <w:r w:rsidR="003E3559" w:rsidRPr="00C62009">
              <w:t xml:space="preserve"> channel planning arrangements are in place to support use of the band by fixed service Digital Radio Concentrator Systems.</w:t>
            </w:r>
          </w:p>
          <w:p w14:paraId="55B94237" w14:textId="77777777" w:rsidR="003E3559" w:rsidRPr="00C62009" w:rsidRDefault="003E3559" w:rsidP="0037046B">
            <w:pPr>
              <w:keepNext/>
              <w:keepLines/>
            </w:pPr>
            <w:r w:rsidRPr="00C62009">
              <w:t>Inmarsat has identified an interest in utilising the extended L</w:t>
            </w:r>
            <w:r w:rsidR="001B64BF" w:rsidRPr="00C62009">
              <w:t>-</w:t>
            </w:r>
            <w:r w:rsidRPr="00C62009">
              <w:t>band for MSS purposes</w:t>
            </w:r>
            <w:r w:rsidR="001B64BF" w:rsidRPr="00C62009">
              <w:t xml:space="preserve"> from around 2020</w:t>
            </w:r>
            <w:r w:rsidRPr="00C62009">
              <w:t xml:space="preserve">. </w:t>
            </w:r>
          </w:p>
          <w:p w14:paraId="3F2E16FD" w14:textId="77777777" w:rsidR="003E3559" w:rsidRPr="00C62009" w:rsidRDefault="003E3559" w:rsidP="0037046B">
            <w:pPr>
              <w:pStyle w:val="BodySubHeader"/>
              <w:keepNext/>
              <w:keepLines/>
            </w:pPr>
            <w:r w:rsidRPr="00C62009">
              <w:t>Next steps</w:t>
            </w:r>
          </w:p>
          <w:p w14:paraId="6634CE09" w14:textId="77777777" w:rsidR="003E3559" w:rsidRPr="00C62009" w:rsidRDefault="003E3559" w:rsidP="00D0778B">
            <w:pPr>
              <w:keepNext/>
              <w:keepLines/>
              <w:spacing w:after="120"/>
            </w:pPr>
            <w:r w:rsidRPr="00C62009">
              <w:t>The ACMA recognises the need to review planning arrangements in these bands to identify the spectrum use or uses that would maximise the overall public benefit and</w:t>
            </w:r>
            <w:r w:rsidR="00C80011" w:rsidRPr="00C62009">
              <w:t>,</w:t>
            </w:r>
            <w:r w:rsidRPr="00C62009">
              <w:t xml:space="preserve"> if appropriate</w:t>
            </w:r>
            <w:r w:rsidR="00C80011" w:rsidRPr="00C62009">
              <w:t>,</w:t>
            </w:r>
            <w:r w:rsidRPr="00C62009">
              <w:t xml:space="preserve"> vary spectrum management arrangements to support this use. </w:t>
            </w:r>
            <w:r w:rsidR="0084784C" w:rsidRPr="00C62009">
              <w:t>As t</w:t>
            </w:r>
            <w:r w:rsidR="00D0778B" w:rsidRPr="00C62009">
              <w:t>he</w:t>
            </w:r>
            <w:r w:rsidRPr="00C62009">
              <w:t xml:space="preserve"> coexistence with potential broadband use below 1518 MHz is likely to be a substantial consideration, the simultaneous review of the extended MSS L</w:t>
            </w:r>
            <w:r w:rsidR="001B64BF" w:rsidRPr="00C62009">
              <w:t>-</w:t>
            </w:r>
            <w:r w:rsidRPr="00C62009">
              <w:t xml:space="preserve">band and the 1.5 GHz bands is likely to be appropriate. </w:t>
            </w:r>
            <w:r w:rsidR="00D0778B" w:rsidRPr="00C62009">
              <w:t>Following consideration of submissions and request</w:t>
            </w:r>
            <w:r w:rsidR="0084784C" w:rsidRPr="00C62009">
              <w:t>s</w:t>
            </w:r>
            <w:r w:rsidR="00D0778B" w:rsidRPr="00C62009">
              <w:t xml:space="preserve"> to </w:t>
            </w:r>
            <w:r w:rsidR="0084784C" w:rsidRPr="00C62009">
              <w:t xml:space="preserve">prioritise </w:t>
            </w:r>
            <w:r w:rsidR="00D0778B" w:rsidRPr="00C62009">
              <w:t>other work, the ACMA is deferring further consideration of 1.5</w:t>
            </w:r>
            <w:r w:rsidR="000C5674" w:rsidRPr="00C62009">
              <w:t xml:space="preserve"> </w:t>
            </w:r>
            <w:r w:rsidR="00D0778B" w:rsidRPr="00C62009">
              <w:t>GHz matters</w:t>
            </w:r>
            <w:r w:rsidR="00C10EF3" w:rsidRPr="00C62009">
              <w:t xml:space="preserve"> for now.</w:t>
            </w:r>
          </w:p>
        </w:tc>
        <w:tc>
          <w:tcPr>
            <w:tcW w:w="866" w:type="pct"/>
            <w:tcBorders>
              <w:top w:val="single" w:sz="4" w:space="0" w:color="auto"/>
              <w:left w:val="single" w:sz="4" w:space="0" w:color="auto"/>
              <w:bottom w:val="single" w:sz="4" w:space="0" w:color="auto"/>
              <w:right w:val="single" w:sz="4" w:space="0" w:color="auto"/>
            </w:tcBorders>
          </w:tcPr>
          <w:p w14:paraId="12D11F37" w14:textId="77777777" w:rsidR="003E3559" w:rsidRDefault="00EF1BC8" w:rsidP="0037046B">
            <w:pPr>
              <w:pStyle w:val="TableBody"/>
              <w:keepNext/>
              <w:keepLines/>
              <w:rPr>
                <w:rFonts w:cs="Arial"/>
                <w:szCs w:val="20"/>
              </w:rPr>
            </w:pPr>
            <w:r>
              <w:rPr>
                <w:rFonts w:cs="Arial"/>
                <w:szCs w:val="20"/>
              </w:rPr>
              <w:t xml:space="preserve">Further consideration </w:t>
            </w:r>
            <w:r w:rsidRPr="00493B5D">
              <w:rPr>
                <w:rFonts w:cs="Arial"/>
                <w:szCs w:val="20"/>
              </w:rPr>
              <w:t>deferred</w:t>
            </w:r>
            <w:r>
              <w:rPr>
                <w:rFonts w:cs="Arial"/>
                <w:szCs w:val="20"/>
              </w:rPr>
              <w:t xml:space="preserve"> until Q3/4 2019</w:t>
            </w:r>
            <w:r w:rsidR="00C80011">
              <w:rPr>
                <w:rFonts w:cs="Arial"/>
                <w:szCs w:val="20"/>
              </w:rPr>
              <w:t>–</w:t>
            </w:r>
            <w:r>
              <w:rPr>
                <w:rFonts w:cs="Arial"/>
                <w:szCs w:val="20"/>
              </w:rPr>
              <w:t>20</w:t>
            </w:r>
          </w:p>
        </w:tc>
      </w:tr>
      <w:tr w:rsidR="003E3559" w14:paraId="090FA0AF"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5AB6659A" w14:textId="77777777" w:rsidR="003E3559" w:rsidRDefault="003515BA" w:rsidP="003E3559">
            <w:pPr>
              <w:spacing w:after="0" w:line="240" w:lineRule="auto"/>
            </w:pPr>
            <w:r>
              <w:rPr>
                <w:noProof/>
              </w:rPr>
              <w:drawing>
                <wp:inline distT="0" distB="0" distL="0" distR="0" wp14:anchorId="720537E1" wp14:editId="4D3D962B">
                  <wp:extent cx="207010" cy="152400"/>
                  <wp:effectExtent l="0" t="0" r="2540" b="0"/>
                  <wp:docPr id="27" name="Picture 27"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3E3559">
              <w:t xml:space="preserve">2 GHz </w:t>
            </w:r>
          </w:p>
          <w:p w14:paraId="2264B4F7" w14:textId="77777777" w:rsidR="003E3559" w:rsidRPr="00467F32" w:rsidRDefault="003E3559" w:rsidP="003E3559">
            <w:pPr>
              <w:spacing w:after="0" w:line="240" w:lineRule="auto"/>
            </w:pPr>
            <w:r>
              <w:t>(1980–2010 MHz and 2170–2200 MHz)</w:t>
            </w:r>
          </w:p>
        </w:tc>
        <w:tc>
          <w:tcPr>
            <w:tcW w:w="3234" w:type="pct"/>
            <w:tcBorders>
              <w:top w:val="single" w:sz="4" w:space="0" w:color="auto"/>
              <w:left w:val="single" w:sz="4" w:space="0" w:color="auto"/>
              <w:bottom w:val="single" w:sz="4" w:space="0" w:color="auto"/>
              <w:right w:val="single" w:sz="4" w:space="0" w:color="auto"/>
            </w:tcBorders>
          </w:tcPr>
          <w:p w14:paraId="0C7F306A" w14:textId="77777777" w:rsidR="003E3559" w:rsidRDefault="003E3559" w:rsidP="005759E7">
            <w:pPr>
              <w:spacing w:after="120"/>
            </w:pPr>
            <w:r>
              <w:t>As an outcome of the review of the 2.5 GHz band</w:t>
            </w:r>
            <w:r>
              <w:rPr>
                <w:vertAlign w:val="superscript"/>
              </w:rPr>
              <w:footnoteReference w:id="26"/>
            </w:r>
            <w:r>
              <w:t xml:space="preserve">, the ACMA developed arrangements to support the introduction </w:t>
            </w:r>
            <w:r w:rsidRPr="004F48A6">
              <w:t>of television outside broadcast (TOB) in</w:t>
            </w:r>
            <w:r>
              <w:t xml:space="preserve"> the frequency ranges 1980–2010 MHz and 2170–2200 MHz on an interim basis. In March 2012, the </w:t>
            </w:r>
            <w:hyperlink r:id="rId40" w:history="1">
              <w:r>
                <w:rPr>
                  <w:rStyle w:val="Hyperlink"/>
                  <w:rFonts w:eastAsiaTheme="majorEastAsia" w:cs="Arial"/>
                  <w:szCs w:val="26"/>
                </w:rPr>
                <w:t>Television Outside Broadcast (1980–2110 MHz and 2170–2300 MHz) Frequency Band Plan 2012</w:t>
              </w:r>
            </w:hyperlink>
            <w:r>
              <w:t xml:space="preserve"> (TOB Band Plan) was made. The frequency ranges remain subject to Embargo 23</w:t>
            </w:r>
            <w:r>
              <w:rPr>
                <w:vertAlign w:val="superscript"/>
              </w:rPr>
              <w:footnoteReference w:id="27"/>
            </w:r>
            <w:r>
              <w:rPr>
                <w:vertAlign w:val="superscript"/>
              </w:rPr>
              <w:t xml:space="preserve"> </w:t>
            </w:r>
            <w:r>
              <w:t>to support TOB and future replanning activities.</w:t>
            </w:r>
          </w:p>
          <w:p w14:paraId="06710D55" w14:textId="77777777" w:rsidR="003E3559" w:rsidRDefault="003E3559" w:rsidP="005759E7">
            <w:pPr>
              <w:spacing w:after="120"/>
              <w:rPr>
                <w:rFonts w:cs="Arial"/>
                <w:szCs w:val="26"/>
              </w:rPr>
            </w:pPr>
            <w:r>
              <w:rPr>
                <w:rFonts w:cs="Arial"/>
                <w:szCs w:val="26"/>
              </w:rPr>
              <w:t xml:space="preserve">While the TOB Band Plan potentially facilitates MSS in the </w:t>
            </w:r>
            <w:r>
              <w:t xml:space="preserve">1980–2010 MHz and 2170–2200 MHz bands </w:t>
            </w:r>
            <w:r>
              <w:rPr>
                <w:rFonts w:cs="Arial"/>
                <w:szCs w:val="26"/>
              </w:rPr>
              <w:t xml:space="preserve">in Australia, there is a current embargo on services </w:t>
            </w:r>
            <w:r w:rsidDel="003A216A">
              <w:rPr>
                <w:rFonts w:cs="Arial"/>
                <w:szCs w:val="26"/>
              </w:rPr>
              <w:t xml:space="preserve">other than </w:t>
            </w:r>
            <w:r>
              <w:rPr>
                <w:rFonts w:cs="Arial"/>
                <w:szCs w:val="26"/>
              </w:rPr>
              <w:t xml:space="preserve">TOB operating in these bands. </w:t>
            </w:r>
          </w:p>
          <w:p w14:paraId="3A19198C" w14:textId="77777777" w:rsidR="003E3559" w:rsidRDefault="003E3559" w:rsidP="005759E7">
            <w:pPr>
              <w:spacing w:after="120"/>
            </w:pPr>
            <w:r>
              <w:t xml:space="preserve">Inmarsat and Omnispace have indicated that they have (or plan to deploy) new 2 GHz band MSS services in the near future. Specifically, Omnispace has expressed an interest in providing services in Australia. Satellite industry representatives have also </w:t>
            </w:r>
            <w:r>
              <w:lastRenderedPageBreak/>
              <w:t xml:space="preserve">suggested that services similar to those to be provided by Inmarsat’s proposed satellite (Europasat) can be expected to be deployed in Australia as part of an international footprint in the future. </w:t>
            </w:r>
          </w:p>
          <w:p w14:paraId="6FF5D504" w14:textId="77777777" w:rsidR="003E3559" w:rsidRDefault="003E3559" w:rsidP="005759E7">
            <w:pPr>
              <w:spacing w:after="120"/>
              <w:rPr>
                <w:rFonts w:cs="Arial"/>
                <w:szCs w:val="26"/>
              </w:rPr>
            </w:pPr>
            <w:r>
              <w:rPr>
                <w:rFonts w:cs="Arial"/>
              </w:rPr>
              <w:t xml:space="preserve">The </w:t>
            </w:r>
            <w:r>
              <w:rPr>
                <w:rFonts w:cs="Arial"/>
                <w:szCs w:val="26"/>
              </w:rPr>
              <w:t>frequency bands 1980–2010 MHz and 2170–2200 MHz</w:t>
            </w:r>
            <w:r>
              <w:rPr>
                <w:rFonts w:cs="Arial"/>
              </w:rPr>
              <w:t xml:space="preserve"> are already allocated to the mobile service and </w:t>
            </w:r>
            <w:r>
              <w:rPr>
                <w:rFonts w:cs="Arial"/>
                <w:szCs w:val="26"/>
              </w:rPr>
              <w:t xml:space="preserve">subject to a global IMT identification via footnote 388 of the Spectrum Plan. In Resolution </w:t>
            </w:r>
            <w:r>
              <w:rPr>
                <w:rFonts w:cs="Arial"/>
                <w:b/>
                <w:szCs w:val="26"/>
              </w:rPr>
              <w:t>212 (Rev. WRC-15),</w:t>
            </w:r>
            <w:r>
              <w:rPr>
                <w:rFonts w:cs="Arial"/>
                <w:szCs w:val="26"/>
              </w:rPr>
              <w:t xml:space="preserve"> it is noted that these frequency bands are available for use for both the terrestrial component of IMT and the satellite component of IMT.</w:t>
            </w:r>
          </w:p>
          <w:p w14:paraId="44F9ED65" w14:textId="77777777" w:rsidR="003E3559" w:rsidRDefault="003E3559" w:rsidP="005759E7">
            <w:pPr>
              <w:spacing w:after="120"/>
            </w:pPr>
            <w:r>
              <w:t>The ITU has defined IMT channel arrangements for the frequency bands 1980–2010 MHz and 2170–2200 MHz. These can be found in ITU-R Recommendation M.1036.</w:t>
            </w:r>
            <w:r>
              <w:rPr>
                <w:rStyle w:val="FootnoteReference"/>
              </w:rPr>
              <w:footnoteReference w:id="28"/>
            </w:r>
            <w:r>
              <w:t xml:space="preserve"> In order to include the new arrangements in ITU-R Recommendation M.1036, it was agreed in Resolution </w:t>
            </w:r>
            <w:r>
              <w:rPr>
                <w:b/>
              </w:rPr>
              <w:t>212 (Rev. WRC-15)</w:t>
            </w:r>
            <w:r>
              <w:t xml:space="preserve"> to invite study on the possible technical and operational measures to ensure coexistence and compatibility between the terrestrial component of IMT (in the mobile service) and the satellite component of IMT (in the mobile-satellite service) in the frequency bands 1980–2010 MHz and 2170–2200 MHz. These bands are directly adjacent to the existing 2.1 GHz band used for terrestrial mobile voice and broadband services. This work is being conducted as part of WRC-19 agenda item 9.1.1.</w:t>
            </w:r>
          </w:p>
          <w:p w14:paraId="431507BE" w14:textId="77777777" w:rsidR="003E3559" w:rsidRDefault="00870F63" w:rsidP="003E3559">
            <w:r>
              <w:t>Though</w:t>
            </w:r>
            <w:r w:rsidR="003E3559">
              <w:t xml:space="preserve"> the work of the ITU on this issue is </w:t>
            </w:r>
            <w:r w:rsidR="003E3559" w:rsidRPr="00214E77">
              <w:t>focusing</w:t>
            </w:r>
            <w:r w:rsidR="003E3559">
              <w:t xml:space="preserve"> on co-existence of terrestrial and satellite use of the band across international borders, </w:t>
            </w:r>
            <w:r>
              <w:t>this</w:t>
            </w:r>
            <w:r w:rsidR="003E3559">
              <w:t xml:space="preserve"> may provide some useful information on how these bands could be shared between uses and users on a geographic basis domestically.</w:t>
            </w:r>
            <w:r w:rsidR="004A053F">
              <w:t xml:space="preserve"> </w:t>
            </w:r>
            <w:r w:rsidR="003E3559">
              <w:t>In addition, the ACMA is aware of interest in the band for possible direct aircraft to ground operations providing broadband connectivity to aircraft.</w:t>
            </w:r>
          </w:p>
          <w:p w14:paraId="18D6EBE0" w14:textId="77777777" w:rsidR="003E3559" w:rsidRPr="005759E7" w:rsidRDefault="00954362" w:rsidP="00CF29B2">
            <w:pPr>
              <w:pStyle w:val="BodySubHeader"/>
            </w:pPr>
            <w:r w:rsidRPr="00CF29B2">
              <w:t>Recent developments</w:t>
            </w:r>
          </w:p>
          <w:p w14:paraId="0823C0C7" w14:textId="77777777" w:rsidR="003E3559" w:rsidRDefault="003E3559" w:rsidP="003E3559">
            <w:pPr>
              <w:rPr>
                <w:rFonts w:cs="Arial"/>
                <w:szCs w:val="26"/>
              </w:rPr>
            </w:pPr>
            <w:r>
              <w:rPr>
                <w:rFonts w:cs="Arial"/>
              </w:rPr>
              <w:t xml:space="preserve">ITU-R Working Parties 4C and 5D are continuing </w:t>
            </w:r>
            <w:r w:rsidRPr="00964F02">
              <w:rPr>
                <w:lang w:eastAsia="zh-CN"/>
              </w:rPr>
              <w:t xml:space="preserve">studies on technical and operational measures to ensure coexistence and compatibility between the terrestrial and satellite components of IMT in the frequency bands 1980–2010 MHz and 2170–2200 MHz in different countries, in response to WRC-19 agenda item 9.1 (issue 9.1.1). </w:t>
            </w:r>
          </w:p>
          <w:p w14:paraId="5EA741F2" w14:textId="77777777" w:rsidR="003E3559" w:rsidRDefault="003E3559" w:rsidP="0045598D">
            <w:pPr>
              <w:pStyle w:val="BodySubHeader"/>
              <w:keepNext/>
            </w:pPr>
            <w:r>
              <w:t>Next steps</w:t>
            </w:r>
          </w:p>
          <w:p w14:paraId="5199CED5" w14:textId="77777777" w:rsidR="003E3559" w:rsidRDefault="003E3559" w:rsidP="003E3559">
            <w:pPr>
              <w:rPr>
                <w:rFonts w:cs="Arial"/>
              </w:rPr>
            </w:pPr>
            <w:r>
              <w:rPr>
                <w:rFonts w:cs="Arial"/>
                <w:szCs w:val="26"/>
              </w:rPr>
              <w:t>The frequency bands 1980–2010 MHz and 2170–2200 MHz</w:t>
            </w:r>
            <w:r>
              <w:rPr>
                <w:rFonts w:cs="Arial"/>
              </w:rPr>
              <w:t xml:space="preserve"> will be retained at the </w:t>
            </w:r>
            <w:r>
              <w:rPr>
                <w:rFonts w:cs="Arial"/>
                <w:i/>
              </w:rPr>
              <w:t xml:space="preserve">initial investigation </w:t>
            </w:r>
            <w:r>
              <w:rPr>
                <w:rFonts w:cs="Arial"/>
              </w:rPr>
              <w:t xml:space="preserve">stage. </w:t>
            </w:r>
            <w:r w:rsidR="00D46D79">
              <w:rPr>
                <w:rFonts w:cs="Arial"/>
              </w:rPr>
              <w:t>To assist future work</w:t>
            </w:r>
            <w:r w:rsidR="00C80011">
              <w:rPr>
                <w:rFonts w:cs="Arial"/>
              </w:rPr>
              <w:t>,</w:t>
            </w:r>
            <w:r w:rsidR="00D46D79">
              <w:rPr>
                <w:rFonts w:cs="Arial"/>
              </w:rPr>
              <w:t xml:space="preserve"> t</w:t>
            </w:r>
            <w:r w:rsidR="00D46D79">
              <w:t xml:space="preserve">he ACMA is intending to </w:t>
            </w:r>
            <w:r w:rsidR="00D46D79">
              <w:lastRenderedPageBreak/>
              <w:t>develop a</w:t>
            </w:r>
            <w:r w:rsidR="00EF1BC8">
              <w:t xml:space="preserve"> </w:t>
            </w:r>
            <w:r w:rsidR="00FB2845">
              <w:t>discussion</w:t>
            </w:r>
            <w:r w:rsidR="00D46D79">
              <w:t xml:space="preserve"> paper seeking industry views on what technologies should be supported and re-planning considerations for release at the end of Q4.</w:t>
            </w:r>
          </w:p>
          <w:p w14:paraId="14A0AD21" w14:textId="77777777" w:rsidR="003E3559" w:rsidRDefault="003E3559" w:rsidP="005759E7">
            <w:pPr>
              <w:spacing w:after="120"/>
              <w:rPr>
                <w:rFonts w:ascii="Times New Roman" w:hAnsi="Times New Roman"/>
                <w:sz w:val="24"/>
              </w:rPr>
            </w:pPr>
            <w:r>
              <w:t xml:space="preserve">The ACMA will also continue to monitor and, where appropriate, engage with stakeholders via the usual international preparatory process to develop Australian positions on international issues related to </w:t>
            </w:r>
            <w:r>
              <w:rPr>
                <w:rFonts w:cs="Arial"/>
                <w:szCs w:val="26"/>
              </w:rPr>
              <w:t>the frequency bands 1980–2010 MHz and 2170–2200 MHz</w:t>
            </w:r>
            <w:r>
              <w:t>, particularly in relation to work conducted as part of WRC-19 agenda item 9.1.1.</w:t>
            </w:r>
            <w:r>
              <w:rPr>
                <w:rFonts w:ascii="Times New Roman" w:hAnsi="Times New Roman"/>
                <w:sz w:val="24"/>
              </w:rPr>
              <w:t xml:space="preserve"> </w:t>
            </w:r>
          </w:p>
          <w:p w14:paraId="731E861B" w14:textId="77777777" w:rsidR="003E3559" w:rsidRDefault="00E95B07" w:rsidP="001B1B7A">
            <w:pPr>
              <w:spacing w:after="120"/>
            </w:pPr>
            <w:r>
              <w:t>T</w:t>
            </w:r>
            <w:r w:rsidRPr="00D970E3">
              <w:t>he ACMA remains open to case-by-case consideration of applications for test and demonstration purposes in the parts of the frequency ranges 1980</w:t>
            </w:r>
            <w:r w:rsidR="00CF29B2">
              <w:t>–</w:t>
            </w:r>
            <w:r w:rsidRPr="00D970E3">
              <w:t>1985/2170</w:t>
            </w:r>
            <w:r w:rsidR="00CF29B2">
              <w:t>–</w:t>
            </w:r>
            <w:r w:rsidRPr="00D970E3">
              <w:t>2175 MHz (</w:t>
            </w:r>
            <w:r w:rsidRPr="00214E77">
              <w:t>guard band</w:t>
            </w:r>
            <w:r w:rsidRPr="00D970E3">
              <w:t xml:space="preserve"> between TOB and frequency adjacent spectrum licensing and </w:t>
            </w:r>
            <w:r w:rsidR="00284BC8">
              <w:t xml:space="preserve">apparatus licensed public mobile telecommunications </w:t>
            </w:r>
            <w:r w:rsidRPr="00D970E3">
              <w:t>services) on a short</w:t>
            </w:r>
            <w:r w:rsidR="00CF29B2">
              <w:t>-</w:t>
            </w:r>
            <w:r w:rsidRPr="00D970E3">
              <w:t>term, non-renewal basis</w:t>
            </w:r>
            <w:r w:rsidR="00CF29B2">
              <w:t>,</w:t>
            </w:r>
            <w:r w:rsidRPr="00D970E3">
              <w:t xml:space="preserve"> subject to appropriate interference management and resolution conditions.</w:t>
            </w:r>
            <w:r>
              <w:t xml:space="preserve"> </w:t>
            </w:r>
          </w:p>
        </w:tc>
        <w:tc>
          <w:tcPr>
            <w:tcW w:w="866" w:type="pct"/>
            <w:tcBorders>
              <w:top w:val="single" w:sz="4" w:space="0" w:color="auto"/>
              <w:left w:val="single" w:sz="4" w:space="0" w:color="auto"/>
              <w:bottom w:val="single" w:sz="4" w:space="0" w:color="auto"/>
              <w:right w:val="single" w:sz="4" w:space="0" w:color="auto"/>
            </w:tcBorders>
          </w:tcPr>
          <w:p w14:paraId="750B9FB5" w14:textId="77777777" w:rsidR="003E3559" w:rsidRDefault="00EF1BC8" w:rsidP="00865494">
            <w:pPr>
              <w:spacing w:after="0"/>
              <w:rPr>
                <w:rFonts w:cs="Arial"/>
                <w:szCs w:val="26"/>
              </w:rPr>
            </w:pPr>
            <w:r>
              <w:rPr>
                <w:rFonts w:cs="Arial"/>
                <w:szCs w:val="26"/>
              </w:rPr>
              <w:lastRenderedPageBreak/>
              <w:t>Q4 2018</w:t>
            </w:r>
            <w:r w:rsidR="00C80011">
              <w:rPr>
                <w:rFonts w:cs="Arial"/>
                <w:szCs w:val="26"/>
              </w:rPr>
              <w:t>–</w:t>
            </w:r>
            <w:r>
              <w:rPr>
                <w:rFonts w:cs="Arial"/>
                <w:szCs w:val="26"/>
              </w:rPr>
              <w:t>19</w:t>
            </w:r>
          </w:p>
          <w:p w14:paraId="59FAE427" w14:textId="77777777" w:rsidR="000963FF" w:rsidRPr="005759E7" w:rsidRDefault="000963FF" w:rsidP="002D62C3">
            <w:pPr>
              <w:spacing w:after="120"/>
            </w:pPr>
            <w:r>
              <w:t>(discussion paper)</w:t>
            </w:r>
          </w:p>
        </w:tc>
      </w:tr>
      <w:tr w:rsidR="00745A90" w14:paraId="0F8FC0BD" w14:textId="77777777" w:rsidTr="001B1B7A">
        <w:trPr>
          <w:trHeight w:val="4687"/>
        </w:trPr>
        <w:tc>
          <w:tcPr>
            <w:tcW w:w="900" w:type="pct"/>
            <w:tcBorders>
              <w:top w:val="single" w:sz="4" w:space="0" w:color="auto"/>
              <w:left w:val="single" w:sz="4" w:space="0" w:color="auto"/>
              <w:bottom w:val="single" w:sz="4" w:space="0" w:color="auto"/>
              <w:right w:val="single" w:sz="4" w:space="0" w:color="auto"/>
            </w:tcBorders>
          </w:tcPr>
          <w:p w14:paraId="37941E5C" w14:textId="77777777" w:rsidR="00745A90" w:rsidRDefault="00BF5FD2" w:rsidP="00745A90">
            <w:pPr>
              <w:spacing w:after="0" w:line="240" w:lineRule="auto"/>
            </w:pPr>
            <w:r>
              <w:rPr>
                <w:noProof/>
              </w:rPr>
              <w:lastRenderedPageBreak/>
              <w:drawing>
                <wp:inline distT="0" distB="0" distL="0" distR="0" wp14:anchorId="4EB6CAF5" wp14:editId="559502F4">
                  <wp:extent cx="207010" cy="152400"/>
                  <wp:effectExtent l="0" t="0" r="2540" b="0"/>
                  <wp:docPr id="4" name="Picture 4"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745A90" w:rsidRPr="00467F32">
              <w:t xml:space="preserve">3.8 GHz </w:t>
            </w:r>
          </w:p>
          <w:p w14:paraId="485D7F85" w14:textId="77777777" w:rsidR="00745A90" w:rsidRPr="008E4C37" w:rsidRDefault="00745A90" w:rsidP="00745A90">
            <w:pPr>
              <w:spacing w:after="0" w:line="240" w:lineRule="auto"/>
            </w:pPr>
            <w:r w:rsidRPr="00467F32">
              <w:t>(3700–4200 MHz)</w:t>
            </w:r>
          </w:p>
        </w:tc>
        <w:tc>
          <w:tcPr>
            <w:tcW w:w="3234" w:type="pct"/>
            <w:tcBorders>
              <w:top w:val="single" w:sz="4" w:space="0" w:color="auto"/>
              <w:left w:val="single" w:sz="4" w:space="0" w:color="auto"/>
              <w:bottom w:val="single" w:sz="4" w:space="0" w:color="auto"/>
              <w:right w:val="single" w:sz="4" w:space="0" w:color="auto"/>
            </w:tcBorders>
          </w:tcPr>
          <w:p w14:paraId="45F1F1D3" w14:textId="77777777" w:rsidR="00745A90" w:rsidRDefault="00745A90" w:rsidP="00745A90">
            <w:pPr>
              <w:spacing w:after="120"/>
              <w:rPr>
                <w:rFonts w:cs="Arial"/>
              </w:rPr>
            </w:pPr>
            <w:r>
              <w:rPr>
                <w:rFonts w:cs="Arial"/>
              </w:rPr>
              <w:t xml:space="preserve">The 3.8 GHz band is allocated on a co-primary basis in Australia to the fixed, fixed-satellite (space-to-earth) and mobile services. </w:t>
            </w:r>
          </w:p>
          <w:p w14:paraId="6DD703B1" w14:textId="4BAB183E" w:rsidR="00745A90" w:rsidRDefault="00745A90" w:rsidP="00745A90">
            <w:pPr>
              <w:spacing w:after="120"/>
              <w:rPr>
                <w:rFonts w:cs="Arial"/>
              </w:rPr>
            </w:pPr>
            <w:r>
              <w:rPr>
                <w:rFonts w:cs="Arial"/>
              </w:rPr>
              <w:t>The use of the 3700–4200 MHz band has been debated internationally for a number of years. Recently, there has been increasing interest in the lower and lower-adjacent parts of this band for 5G services, particularly given the large bandwidths potentially available in this range. In June 2016, Japan’s Ministry of Internal Affair’s and Communications (MIC) named the 3.6–4.2 GHz band as a nationally suitable candidate band for 5G.</w:t>
            </w:r>
            <w:r>
              <w:rPr>
                <w:rStyle w:val="FootnoteReference"/>
              </w:rPr>
              <w:footnoteReference w:id="29"/>
            </w:r>
            <w:r>
              <w:rPr>
                <w:rFonts w:cs="Arial"/>
              </w:rPr>
              <w:t xml:space="preserve"> This has resulted in increasing </w:t>
            </w:r>
            <w:r w:rsidR="00DF6CE2">
              <w:rPr>
                <w:rFonts w:cs="Arial"/>
              </w:rPr>
              <w:t xml:space="preserve">interest </w:t>
            </w:r>
            <w:r>
              <w:t xml:space="preserve">from domestic </w:t>
            </w:r>
            <w:r w:rsidR="00DF6CE2">
              <w:t xml:space="preserve">parties </w:t>
            </w:r>
            <w:r>
              <w:t xml:space="preserve">in pursuing this band for mobile broadband. </w:t>
            </w:r>
          </w:p>
          <w:p w14:paraId="6CB5878C" w14:textId="77777777" w:rsidR="00745A90" w:rsidRDefault="00745A90" w:rsidP="001B1B7A">
            <w:pPr>
              <w:pStyle w:val="BodySubHeader"/>
              <w:keepNext/>
              <w:keepLines/>
              <w:spacing w:before="0"/>
            </w:pPr>
            <w:r>
              <w:lastRenderedPageBreak/>
              <w:t>Recent developments</w:t>
            </w:r>
          </w:p>
          <w:p w14:paraId="0B1DF595" w14:textId="77777777" w:rsidR="00745A90" w:rsidRDefault="00745A90" w:rsidP="001B1B7A">
            <w:pPr>
              <w:keepNext/>
              <w:keepLines/>
              <w:spacing w:after="120"/>
            </w:pPr>
            <w:r>
              <w:t>In July 2018</w:t>
            </w:r>
            <w:r w:rsidR="00C80011">
              <w:t>,</w:t>
            </w:r>
            <w:r>
              <w:t xml:space="preserve"> the </w:t>
            </w:r>
            <w:r w:rsidR="001A469C">
              <w:t xml:space="preserve">US </w:t>
            </w:r>
            <w:r>
              <w:t xml:space="preserve">FCC released a </w:t>
            </w:r>
            <w:r w:rsidRPr="00D05F42">
              <w:t>Notice of Proposed Rulemaking</w:t>
            </w:r>
            <w:r>
              <w:t xml:space="preserve"> that identifies the opportunity for satellite services to share 3.7</w:t>
            </w:r>
            <w:r w:rsidR="00C80011">
              <w:t>–</w:t>
            </w:r>
            <w:r>
              <w:t>4.2 GHz for fixed and mobile wireless broadband services, including 5G.</w:t>
            </w:r>
            <w:r>
              <w:rPr>
                <w:rStyle w:val="FootnoteReference"/>
              </w:rPr>
              <w:footnoteReference w:id="30"/>
            </w:r>
          </w:p>
          <w:p w14:paraId="17630204" w14:textId="77777777" w:rsidR="00745A90" w:rsidRDefault="00745A90" w:rsidP="00745A90">
            <w:pPr>
              <w:keepNext/>
              <w:keepLines/>
            </w:pPr>
            <w:r>
              <w:t>In April 2018</w:t>
            </w:r>
            <w:r w:rsidR="00C80011">
              <w:t>,</w:t>
            </w:r>
            <w:r>
              <w:t xml:space="preserve"> </w:t>
            </w:r>
            <w:r w:rsidR="000D0B29">
              <w:t xml:space="preserve">the UK’s </w:t>
            </w:r>
            <w:r w:rsidRPr="00493B5D">
              <w:t>Of</w:t>
            </w:r>
            <w:r w:rsidR="00245069">
              <w:t>c</w:t>
            </w:r>
            <w:r w:rsidRPr="00493B5D">
              <w:t>om</w:t>
            </w:r>
            <w:r>
              <w:t xml:space="preserve"> released a consultation paper seeking comments on opportunities for incumbent fixed links and fixed satellite services to share the 3.8</w:t>
            </w:r>
            <w:r w:rsidR="00EA1B89">
              <w:t>–</w:t>
            </w:r>
            <w:r>
              <w:t>4.2 GHz band with fixed and mobile wireless broadband services.</w:t>
            </w:r>
            <w:r>
              <w:rPr>
                <w:rStyle w:val="FootnoteReference"/>
              </w:rPr>
              <w:footnoteReference w:id="31"/>
            </w:r>
          </w:p>
          <w:p w14:paraId="4C50FF5C" w14:textId="77777777" w:rsidR="00745A90" w:rsidRPr="00530A2E" w:rsidRDefault="00745A90" w:rsidP="00745A90">
            <w:pPr>
              <w:pStyle w:val="BodySubHeader"/>
              <w:keepNext/>
              <w:keepLines/>
            </w:pPr>
            <w:r w:rsidRPr="00530A2E">
              <w:t xml:space="preserve">Next </w:t>
            </w:r>
            <w:r>
              <w:t>s</w:t>
            </w:r>
            <w:r w:rsidRPr="00530A2E">
              <w:t>teps</w:t>
            </w:r>
          </w:p>
          <w:p w14:paraId="5A615732" w14:textId="4B42B9D1" w:rsidR="00745A90" w:rsidRDefault="006626AE" w:rsidP="00F46B37">
            <w:pPr>
              <w:spacing w:after="120"/>
            </w:pPr>
            <w:r>
              <w:t>Given the global developments on wireless broadband mentioned above, and domestic considerations arising from the known interest</w:t>
            </w:r>
            <w:r w:rsidR="003973A4">
              <w:t>s</w:t>
            </w:r>
            <w:r>
              <w:t xml:space="preserve"> of incumbent and aspirant users of the band, </w:t>
            </w:r>
            <w:r w:rsidR="00742F3E">
              <w:t>it is timely to begin</w:t>
            </w:r>
            <w:r>
              <w:t xml:space="preserve"> a discussion with industry on </w:t>
            </w:r>
            <w:r w:rsidR="00742F3E">
              <w:t xml:space="preserve">any implications for </w:t>
            </w:r>
            <w:r>
              <w:t>long</w:t>
            </w:r>
            <w:r w:rsidR="00865494">
              <w:t>-</w:t>
            </w:r>
            <w:r>
              <w:t>term arrangements for the entire 3700</w:t>
            </w:r>
            <w:r w:rsidR="00865494">
              <w:t>–</w:t>
            </w:r>
            <w:r>
              <w:t xml:space="preserve">4200 MHz band. </w:t>
            </w:r>
            <w:r w:rsidR="00742F3E">
              <w:t>R</w:t>
            </w:r>
            <w:r>
              <w:t>eview</w:t>
            </w:r>
            <w:r w:rsidR="00742F3E">
              <w:t>ing arrangements across</w:t>
            </w:r>
            <w:r>
              <w:t xml:space="preserve"> the entire band, rather than incrementally reviewing parts of it, </w:t>
            </w:r>
            <w:r w:rsidR="00742F3E">
              <w:t>should allow</w:t>
            </w:r>
            <w:r>
              <w:t xml:space="preserve"> </w:t>
            </w:r>
            <w:r w:rsidR="00742F3E">
              <w:t xml:space="preserve">for a more </w:t>
            </w:r>
            <w:r>
              <w:t>holistic</w:t>
            </w:r>
            <w:r w:rsidR="00742F3E">
              <w:t xml:space="preserve"> </w:t>
            </w:r>
            <w:r>
              <w:t>consider</w:t>
            </w:r>
            <w:r w:rsidR="00742F3E">
              <w:t>ation of</w:t>
            </w:r>
            <w:r>
              <w:t xml:space="preserve"> the needs of all use</w:t>
            </w:r>
            <w:r w:rsidR="00742F3E">
              <w:t>r</w:t>
            </w:r>
            <w:r>
              <w:t xml:space="preserve">s </w:t>
            </w:r>
            <w:r w:rsidR="00742F3E">
              <w:t xml:space="preserve">and potential uses </w:t>
            </w:r>
            <w:r>
              <w:t>of the band</w:t>
            </w:r>
            <w:r w:rsidR="00742F3E">
              <w:t>,</w:t>
            </w:r>
            <w:r>
              <w:t xml:space="preserve"> both existing and future. The ACMA is alert to the needs of existing fixed satellite and point-to-point uses of the band, as well as the potential for both wide area and site based (</w:t>
            </w:r>
            <w:r w:rsidR="00865494">
              <w:t xml:space="preserve">for </w:t>
            </w:r>
            <w:r w:rsidR="00865494" w:rsidRPr="005E1578">
              <w:t>example,</w:t>
            </w:r>
            <w:r w:rsidRPr="005E1578">
              <w:t xml:space="preserve"> point-</w:t>
            </w:r>
            <w:r w:rsidR="005E1578" w:rsidRPr="005E1578">
              <w:t>to-</w:t>
            </w:r>
            <w:r w:rsidRPr="005E1578">
              <w:t>multipoint)</w:t>
            </w:r>
            <w:r>
              <w:t xml:space="preserve"> wireless broadband. Considering the whole band simultaneously will maximise the opportunity for balanced </w:t>
            </w:r>
            <w:r w:rsidR="00742F3E">
              <w:t xml:space="preserve">approaches that take appropriate account of all </w:t>
            </w:r>
            <w:r>
              <w:t xml:space="preserve">interests. </w:t>
            </w:r>
          </w:p>
        </w:tc>
        <w:tc>
          <w:tcPr>
            <w:tcW w:w="866" w:type="pct"/>
            <w:tcBorders>
              <w:top w:val="single" w:sz="4" w:space="0" w:color="auto"/>
              <w:left w:val="single" w:sz="4" w:space="0" w:color="auto"/>
              <w:bottom w:val="single" w:sz="4" w:space="0" w:color="auto"/>
              <w:right w:val="single" w:sz="4" w:space="0" w:color="auto"/>
            </w:tcBorders>
          </w:tcPr>
          <w:p w14:paraId="635AECC8" w14:textId="77777777" w:rsidR="00745A90" w:rsidRDefault="00745A90" w:rsidP="00745A90">
            <w:pPr>
              <w:pStyle w:val="TableBody"/>
              <w:rPr>
                <w:rFonts w:cs="Arial"/>
                <w:szCs w:val="20"/>
              </w:rPr>
            </w:pPr>
            <w:r>
              <w:rPr>
                <w:rFonts w:cs="Arial"/>
                <w:szCs w:val="20"/>
              </w:rPr>
              <w:lastRenderedPageBreak/>
              <w:t>Q3</w:t>
            </w:r>
            <w:r w:rsidR="00C80011">
              <w:rPr>
                <w:rFonts w:cs="Arial"/>
                <w:szCs w:val="20"/>
              </w:rPr>
              <w:t>–</w:t>
            </w:r>
            <w:r>
              <w:rPr>
                <w:rFonts w:cs="Arial"/>
                <w:szCs w:val="20"/>
              </w:rPr>
              <w:t xml:space="preserve">4 </w:t>
            </w:r>
            <w:r w:rsidR="00C80011">
              <w:rPr>
                <w:rFonts w:cs="Arial"/>
                <w:szCs w:val="20"/>
              </w:rPr>
              <w:br/>
            </w:r>
            <w:r>
              <w:rPr>
                <w:rFonts w:cs="Arial"/>
                <w:szCs w:val="20"/>
              </w:rPr>
              <w:t>2018</w:t>
            </w:r>
            <w:r w:rsidR="00C80011">
              <w:rPr>
                <w:rFonts w:cs="Arial"/>
                <w:szCs w:val="20"/>
              </w:rPr>
              <w:t>–</w:t>
            </w:r>
            <w:r>
              <w:rPr>
                <w:rFonts w:cs="Arial"/>
                <w:szCs w:val="20"/>
              </w:rPr>
              <w:t>19</w:t>
            </w:r>
          </w:p>
          <w:p w14:paraId="323AA9C5" w14:textId="77777777" w:rsidR="000963FF" w:rsidRDefault="000963FF" w:rsidP="00745A90">
            <w:pPr>
              <w:pStyle w:val="TableBody"/>
              <w:rPr>
                <w:rFonts w:cs="Arial"/>
                <w:szCs w:val="20"/>
              </w:rPr>
            </w:pPr>
            <w:r>
              <w:rPr>
                <w:rFonts w:cs="Arial"/>
                <w:szCs w:val="20"/>
              </w:rPr>
              <w:t>(discussion paper)</w:t>
            </w:r>
          </w:p>
        </w:tc>
      </w:tr>
      <w:tr w:rsidR="003E3559" w14:paraId="2D54D850" w14:textId="77777777" w:rsidTr="00DD279F">
        <w:trPr>
          <w:trHeight w:val="150"/>
        </w:trPr>
        <w:tc>
          <w:tcPr>
            <w:tcW w:w="900" w:type="pct"/>
            <w:tcBorders>
              <w:top w:val="single" w:sz="4" w:space="0" w:color="auto"/>
              <w:left w:val="single" w:sz="4" w:space="0" w:color="auto"/>
              <w:bottom w:val="single" w:sz="4" w:space="0" w:color="auto"/>
              <w:right w:val="single" w:sz="4" w:space="0" w:color="auto"/>
            </w:tcBorders>
          </w:tcPr>
          <w:p w14:paraId="18E1C1CB" w14:textId="77777777" w:rsidR="003E3559" w:rsidRDefault="003E3559" w:rsidP="001949D3">
            <w:pPr>
              <w:spacing w:after="0" w:line="240" w:lineRule="auto"/>
            </w:pPr>
            <w:r w:rsidRPr="008E4C37">
              <w:t xml:space="preserve">28 GHz </w:t>
            </w:r>
          </w:p>
          <w:p w14:paraId="27D445E4" w14:textId="77777777" w:rsidR="003E3559" w:rsidRPr="008E4C37" w:rsidRDefault="003E3559" w:rsidP="003E3559">
            <w:pPr>
              <w:spacing w:after="0" w:line="240" w:lineRule="auto"/>
            </w:pPr>
            <w:r>
              <w:t>(</w:t>
            </w:r>
            <w:r>
              <w:rPr>
                <w:rFonts w:cs="Arial"/>
                <w:szCs w:val="20"/>
              </w:rPr>
              <w:t>27.5</w:t>
            </w:r>
            <w:r w:rsidR="00CF29B2">
              <w:rPr>
                <w:rFonts w:cs="Arial"/>
                <w:szCs w:val="20"/>
              </w:rPr>
              <w:t>–</w:t>
            </w:r>
            <w:r>
              <w:rPr>
                <w:rFonts w:cs="Arial"/>
                <w:szCs w:val="20"/>
              </w:rPr>
              <w:t>29.5 GHz)</w:t>
            </w:r>
          </w:p>
        </w:tc>
        <w:tc>
          <w:tcPr>
            <w:tcW w:w="3234" w:type="pct"/>
            <w:tcBorders>
              <w:top w:val="single" w:sz="4" w:space="0" w:color="auto"/>
              <w:left w:val="single" w:sz="4" w:space="0" w:color="auto"/>
              <w:bottom w:val="single" w:sz="4" w:space="0" w:color="auto"/>
              <w:right w:val="single" w:sz="4" w:space="0" w:color="auto"/>
            </w:tcBorders>
          </w:tcPr>
          <w:p w14:paraId="1589F7B3" w14:textId="77777777" w:rsidR="003E3559" w:rsidRDefault="003E3559" w:rsidP="005759E7">
            <w:r>
              <w:t>In October 2017</w:t>
            </w:r>
            <w:r w:rsidR="00CF29B2">
              <w:t>,</w:t>
            </w:r>
            <w:r>
              <w:t xml:space="preserve"> the ACMA announced the preliminary views and outcomes of its </w:t>
            </w:r>
            <w:hyperlink r:id="rId41" w:history="1">
              <w:r w:rsidRPr="00543753">
                <w:rPr>
                  <w:rStyle w:val="Hyperlink"/>
                  <w:rFonts w:cs="Arial"/>
                  <w:szCs w:val="20"/>
                </w:rPr>
                <w:t>3.6 GHz band review</w:t>
              </w:r>
            </w:hyperlink>
            <w:r>
              <w:t>. As part of the outcomes announced</w:t>
            </w:r>
            <w:r w:rsidR="00CF29B2">
              <w:t>,</w:t>
            </w:r>
            <w:r>
              <w:t xml:space="preserve"> there were a number of mitigation measures identified for affected incumbent point-to-multipoint licensees. This included a commitment from the ACMA to investigate the possibility of developing</w:t>
            </w:r>
            <w:r w:rsidRPr="00543753">
              <w:t xml:space="preserve"> arrangements </w:t>
            </w:r>
            <w:r w:rsidR="00CF29B2">
              <w:t xml:space="preserve">as </w:t>
            </w:r>
            <w:r>
              <w:t>part the 27.5</w:t>
            </w:r>
            <w:r w:rsidR="00CF29B2">
              <w:t>–</w:t>
            </w:r>
            <w:r>
              <w:t>29.5 GHz (28 GHz) band</w:t>
            </w:r>
            <w:r w:rsidR="00CF5365">
              <w:t>.</w:t>
            </w:r>
          </w:p>
          <w:p w14:paraId="68F04685" w14:textId="77777777" w:rsidR="003E3559" w:rsidRPr="008E4C37" w:rsidRDefault="00954362" w:rsidP="003E3559">
            <w:pPr>
              <w:pStyle w:val="BodySubHeader"/>
            </w:pPr>
            <w:r>
              <w:t>Recent developments</w:t>
            </w:r>
          </w:p>
          <w:p w14:paraId="64CE5ADE" w14:textId="77777777" w:rsidR="003E3559" w:rsidRPr="008E4C37" w:rsidRDefault="003E3559" w:rsidP="005759E7">
            <w:r>
              <w:t>In March 2018</w:t>
            </w:r>
            <w:r w:rsidR="00CF29B2">
              <w:t>,</w:t>
            </w:r>
            <w:r>
              <w:t xml:space="preserve"> the Minister for </w:t>
            </w:r>
            <w:r w:rsidR="00CF29B2">
              <w:t>C</w:t>
            </w:r>
            <w:r>
              <w:t>ommunications re-allocated the 3.6 GHz band for the issue of spectrum licences in regional and remote areas of Australia</w:t>
            </w:r>
            <w:r w:rsidR="001818EC">
              <w:t xml:space="preserve"> </w:t>
            </w:r>
            <w:r w:rsidR="001818EC">
              <w:lastRenderedPageBreak/>
              <w:t>following a recommendation that he do so from the ACMA</w:t>
            </w:r>
            <w:r>
              <w:t>.</w:t>
            </w:r>
            <w:r>
              <w:rPr>
                <w:rStyle w:val="FootnoteReference"/>
                <w:rFonts w:cs="Arial"/>
                <w:szCs w:val="20"/>
              </w:rPr>
              <w:footnoteReference w:id="32"/>
            </w:r>
            <w:r>
              <w:t xml:space="preserve"> </w:t>
            </w:r>
          </w:p>
          <w:p w14:paraId="5B80EED5" w14:textId="77777777" w:rsidR="003E3559" w:rsidRPr="007D7C29" w:rsidRDefault="003E3559" w:rsidP="005759E7">
            <w:pPr>
              <w:pStyle w:val="BodySubHeader"/>
            </w:pPr>
            <w:r w:rsidRPr="007D7C29">
              <w:t xml:space="preserve">Next </w:t>
            </w:r>
            <w:r w:rsidR="00CF29B2">
              <w:t>s</w:t>
            </w:r>
            <w:r w:rsidRPr="007D7C29">
              <w:t>teps</w:t>
            </w:r>
            <w:r w:rsidRPr="007D7C29" w:rsidDel="00772021">
              <w:t xml:space="preserve"> </w:t>
            </w:r>
          </w:p>
          <w:p w14:paraId="7C5748B4" w14:textId="77777777" w:rsidR="003E3559" w:rsidRPr="008E4C37" w:rsidRDefault="003E3559">
            <w:pPr>
              <w:pStyle w:val="TableBody"/>
              <w:rPr>
                <w:rFonts w:cs="Arial"/>
                <w:szCs w:val="20"/>
              </w:rPr>
            </w:pPr>
            <w:r>
              <w:rPr>
                <w:rFonts w:cs="Arial"/>
                <w:szCs w:val="20"/>
              </w:rPr>
              <w:t xml:space="preserve">Following the </w:t>
            </w:r>
            <w:r w:rsidR="00CF29B2">
              <w:rPr>
                <w:rFonts w:cs="Arial"/>
                <w:szCs w:val="20"/>
              </w:rPr>
              <w:t>m</w:t>
            </w:r>
            <w:r>
              <w:rPr>
                <w:rFonts w:cs="Arial"/>
                <w:szCs w:val="20"/>
              </w:rPr>
              <w:t>inister’s reallocation declaration</w:t>
            </w:r>
            <w:r w:rsidR="00CF29B2">
              <w:rPr>
                <w:rFonts w:cs="Arial"/>
                <w:szCs w:val="20"/>
              </w:rPr>
              <w:t>,</w:t>
            </w:r>
            <w:r>
              <w:rPr>
                <w:rFonts w:cs="Arial"/>
                <w:szCs w:val="20"/>
              </w:rPr>
              <w:t xml:space="preserve"> the ACMA intends to </w:t>
            </w:r>
            <w:r w:rsidR="003566F0">
              <w:rPr>
                <w:rFonts w:cs="Arial"/>
                <w:szCs w:val="20"/>
              </w:rPr>
              <w:t>commence a discussion on</w:t>
            </w:r>
            <w:r>
              <w:rPr>
                <w:rFonts w:cs="Arial"/>
                <w:szCs w:val="20"/>
              </w:rPr>
              <w:t xml:space="preserve"> the suitability of the </w:t>
            </w:r>
            <w:r w:rsidR="00CF29B2">
              <w:rPr>
                <w:rFonts w:cs="Arial"/>
                <w:szCs w:val="20"/>
              </w:rPr>
              <w:t>28 </w:t>
            </w:r>
            <w:r>
              <w:rPr>
                <w:rFonts w:cs="Arial"/>
                <w:szCs w:val="20"/>
              </w:rPr>
              <w:t>GHz band</w:t>
            </w:r>
            <w:r w:rsidR="00A27D30">
              <w:rPr>
                <w:rFonts w:cs="Arial"/>
                <w:szCs w:val="20"/>
              </w:rPr>
              <w:t xml:space="preserve"> for a broad range of users and service types.</w:t>
            </w:r>
            <w:r>
              <w:rPr>
                <w:rFonts w:cs="Arial"/>
                <w:szCs w:val="20"/>
              </w:rPr>
              <w:t xml:space="preserve"> </w:t>
            </w:r>
            <w:r w:rsidRPr="00201FB7">
              <w:rPr>
                <w:rFonts w:cs="Arial"/>
                <w:szCs w:val="20"/>
              </w:rPr>
              <w:t>Consultation on this issue</w:t>
            </w:r>
            <w:r w:rsidR="00A27D30">
              <w:rPr>
                <w:rFonts w:cs="Arial"/>
                <w:szCs w:val="20"/>
              </w:rPr>
              <w:t xml:space="preserve"> </w:t>
            </w:r>
            <w:r w:rsidRPr="00201FB7">
              <w:rPr>
                <w:rFonts w:cs="Arial"/>
                <w:szCs w:val="20"/>
              </w:rPr>
              <w:t>is expected to commence in the second half of 2018.</w:t>
            </w:r>
          </w:p>
        </w:tc>
        <w:tc>
          <w:tcPr>
            <w:tcW w:w="866" w:type="pct"/>
            <w:tcBorders>
              <w:top w:val="single" w:sz="4" w:space="0" w:color="auto"/>
              <w:left w:val="single" w:sz="4" w:space="0" w:color="auto"/>
              <w:bottom w:val="single" w:sz="4" w:space="0" w:color="auto"/>
              <w:right w:val="single" w:sz="4" w:space="0" w:color="auto"/>
            </w:tcBorders>
          </w:tcPr>
          <w:p w14:paraId="3B8D0DBD" w14:textId="77777777" w:rsidR="003E3559" w:rsidRDefault="003E3559" w:rsidP="003E3559">
            <w:pPr>
              <w:pStyle w:val="TableBody"/>
              <w:rPr>
                <w:rFonts w:cs="Arial"/>
                <w:szCs w:val="20"/>
              </w:rPr>
            </w:pPr>
            <w:r>
              <w:rPr>
                <w:rFonts w:cs="Arial"/>
                <w:szCs w:val="20"/>
              </w:rPr>
              <w:lastRenderedPageBreak/>
              <w:t>Q1 2018</w:t>
            </w:r>
            <w:r w:rsidR="00972721">
              <w:rPr>
                <w:rFonts w:cs="Arial"/>
                <w:szCs w:val="20"/>
              </w:rPr>
              <w:t>–</w:t>
            </w:r>
            <w:r>
              <w:rPr>
                <w:rFonts w:cs="Arial"/>
                <w:szCs w:val="20"/>
              </w:rPr>
              <w:t>19</w:t>
            </w:r>
            <w:r w:rsidR="000963FF">
              <w:rPr>
                <w:rFonts w:cs="Arial"/>
                <w:szCs w:val="20"/>
              </w:rPr>
              <w:t xml:space="preserve"> (discussion paper)</w:t>
            </w:r>
          </w:p>
        </w:tc>
      </w:tr>
    </w:tbl>
    <w:p w14:paraId="2AFB47EF" w14:textId="77777777" w:rsidR="004869C3" w:rsidRDefault="004869C3" w:rsidP="005759E7">
      <w:pPr>
        <w:pStyle w:val="ACMASpaceaftertable"/>
      </w:pPr>
    </w:p>
    <w:p w14:paraId="0503719F" w14:textId="77777777" w:rsidR="00CF29B2" w:rsidRDefault="00B10EA1" w:rsidP="005759E7">
      <w:pPr>
        <w:pStyle w:val="ACMATableHeader"/>
        <w:keepNext/>
      </w:pPr>
      <w:bookmarkStart w:id="232" w:name="_Toc510104948"/>
      <w:bookmarkStart w:id="233" w:name="_Toc510105745"/>
      <w:r>
        <w:t xml:space="preserve">Preliminary </w:t>
      </w:r>
      <w:r w:rsidR="00CF29B2">
        <w:t>r</w:t>
      </w:r>
      <w:r>
        <w:t>eplanning</w:t>
      </w:r>
    </w:p>
    <w:tbl>
      <w:tblPr>
        <w:tblStyle w:val="TableGrid"/>
        <w:tblW w:w="4791"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preliminary replanning phase."/>
      </w:tblPr>
      <w:tblGrid>
        <w:gridCol w:w="1368"/>
        <w:gridCol w:w="4656"/>
        <w:gridCol w:w="1317"/>
      </w:tblGrid>
      <w:tr w:rsidR="00404753" w14:paraId="30D4366F" w14:textId="77777777" w:rsidTr="001B1B7A">
        <w:trPr>
          <w:trHeight w:val="361"/>
          <w:tblHeader/>
        </w:trPr>
        <w:tc>
          <w:tcPr>
            <w:tcW w:w="932"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bookmarkEnd w:id="232"/>
          <w:bookmarkEnd w:id="233"/>
          <w:p w14:paraId="702A9369" w14:textId="77777777" w:rsidR="00404753" w:rsidRDefault="00404753" w:rsidP="00B747E1">
            <w:pPr>
              <w:pStyle w:val="TableHeading"/>
            </w:pPr>
            <w:r>
              <w:t>Key projects</w:t>
            </w:r>
          </w:p>
        </w:tc>
        <w:tc>
          <w:tcPr>
            <w:tcW w:w="3171"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C661B42" w14:textId="77777777" w:rsidR="00404753" w:rsidRDefault="00404753" w:rsidP="00B747E1">
            <w:pPr>
              <w:pStyle w:val="TableHeading"/>
            </w:pPr>
            <w:r>
              <w:t>Activity</w:t>
            </w:r>
          </w:p>
        </w:tc>
        <w:tc>
          <w:tcPr>
            <w:tcW w:w="897"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64306D0B" w14:textId="77777777" w:rsidR="00404753" w:rsidRDefault="00404753" w:rsidP="00B747E1">
            <w:pPr>
              <w:pStyle w:val="TableHeading"/>
            </w:pPr>
            <w:r>
              <w:t>Milestones</w:t>
            </w:r>
          </w:p>
        </w:tc>
      </w:tr>
      <w:tr w:rsidR="00404753" w14:paraId="6552EEC4" w14:textId="77777777" w:rsidTr="001B1B7A">
        <w:trPr>
          <w:trHeight w:val="150"/>
        </w:trPr>
        <w:tc>
          <w:tcPr>
            <w:tcW w:w="932" w:type="pct"/>
            <w:tcBorders>
              <w:top w:val="single" w:sz="4" w:space="0" w:color="auto"/>
              <w:left w:val="single" w:sz="4" w:space="0" w:color="auto"/>
              <w:bottom w:val="single" w:sz="4" w:space="0" w:color="auto"/>
              <w:right w:val="single" w:sz="4" w:space="0" w:color="auto"/>
            </w:tcBorders>
          </w:tcPr>
          <w:p w14:paraId="58390854" w14:textId="77777777" w:rsidR="00C40966" w:rsidRDefault="003515BA">
            <w:pPr>
              <w:spacing w:after="0" w:line="240" w:lineRule="auto"/>
            </w:pPr>
            <w:r>
              <w:rPr>
                <w:noProof/>
              </w:rPr>
              <w:drawing>
                <wp:inline distT="0" distB="0" distL="0" distR="0" wp14:anchorId="509F1E56" wp14:editId="035B9EF7">
                  <wp:extent cx="207010" cy="152400"/>
                  <wp:effectExtent l="0" t="0" r="2540" b="0"/>
                  <wp:docPr id="28" name="Picture 28"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404753">
              <w:t xml:space="preserve">1.5 GHz </w:t>
            </w:r>
          </w:p>
          <w:p w14:paraId="1F016DB6" w14:textId="77777777" w:rsidR="00C70630" w:rsidRPr="00467F32" w:rsidRDefault="00404753">
            <w:pPr>
              <w:spacing w:after="0" w:line="240" w:lineRule="auto"/>
            </w:pPr>
            <w:r>
              <w:t>(1427–1518 MHz)</w:t>
            </w:r>
          </w:p>
        </w:tc>
        <w:tc>
          <w:tcPr>
            <w:tcW w:w="3171" w:type="pct"/>
            <w:tcBorders>
              <w:top w:val="single" w:sz="4" w:space="0" w:color="auto"/>
              <w:left w:val="single" w:sz="4" w:space="0" w:color="auto"/>
              <w:bottom w:val="single" w:sz="4" w:space="0" w:color="auto"/>
              <w:right w:val="single" w:sz="4" w:space="0" w:color="auto"/>
            </w:tcBorders>
          </w:tcPr>
          <w:p w14:paraId="14DAA7E0" w14:textId="77777777" w:rsidR="00404753" w:rsidRDefault="00404753" w:rsidP="005759E7">
            <w:pPr>
              <w:spacing w:after="120"/>
            </w:pPr>
            <w:r>
              <w:t xml:space="preserve">At WRC-15, the entire </w:t>
            </w:r>
            <w:r>
              <w:rPr>
                <w:szCs w:val="20"/>
              </w:rPr>
              <w:t>1427–1518 MHz band was harmonised for IMT within regions 2 and 3, while Region 1 identified 1427–1452 MHz and 1492–1518 MHz via regional footnotes. In Region 1, only African and Arab states identified the 1452–1492 MHz range (CEPT did not identify this band due to an ongoing dispute with RCC countries over the protection of Aeronautical Mobile Telemetry services).</w:t>
            </w:r>
          </w:p>
          <w:p w14:paraId="2366FE2A" w14:textId="77777777" w:rsidR="00404753" w:rsidRDefault="00404753" w:rsidP="005759E7">
            <w:pPr>
              <w:spacing w:after="120"/>
            </w:pPr>
            <w:r>
              <w:t xml:space="preserve">The ACMA notes that an additional outcome of WRC-15 was Resolution </w:t>
            </w:r>
            <w:r>
              <w:rPr>
                <w:b/>
              </w:rPr>
              <w:t>761 (WRC-15)</w:t>
            </w:r>
            <w:r>
              <w:t>. This resolution invites the ITU-R to conduct, in time for WRC-19, the appropriate regulatory and technical studies, with a view to ensuring the compatibility of IMT and the broadcasting-satellite service (BSS) (sound) in the frequency band 1452–1492 MHz in regions 1 and 3, taking into account IMT and BSS (sound) operational requirements.</w:t>
            </w:r>
          </w:p>
          <w:p w14:paraId="4131572B" w14:textId="77777777" w:rsidR="00404753" w:rsidRDefault="00404753" w:rsidP="005759E7">
            <w:pPr>
              <w:spacing w:after="120"/>
            </w:pPr>
            <w:r>
              <w:t xml:space="preserve">Domestically, the impact on aeronautical telemetry services and fixed services, including </w:t>
            </w:r>
            <w:r w:rsidRPr="00E53CF1">
              <w:rPr>
                <w:szCs w:val="20"/>
              </w:rPr>
              <w:t xml:space="preserve">the Digital Radio Concentrator System, </w:t>
            </w:r>
            <w:r w:rsidR="00991742" w:rsidRPr="00E53CF1">
              <w:rPr>
                <w:szCs w:val="20"/>
              </w:rPr>
              <w:t>will</w:t>
            </w:r>
            <w:r w:rsidRPr="00E53CF1">
              <w:rPr>
                <w:szCs w:val="20"/>
              </w:rPr>
              <w:t xml:space="preserve"> need to be</w:t>
            </w:r>
            <w:r>
              <w:rPr>
                <w:szCs w:val="20"/>
              </w:rPr>
              <w:t xml:space="preserve"> considered in </w:t>
            </w:r>
            <w:r w:rsidRPr="00214E77">
              <w:rPr>
                <w:szCs w:val="20"/>
              </w:rPr>
              <w:t>any re-farming</w:t>
            </w:r>
            <w:r>
              <w:rPr>
                <w:szCs w:val="20"/>
              </w:rPr>
              <w:t xml:space="preserve"> </w:t>
            </w:r>
            <w:r w:rsidR="00991742">
              <w:rPr>
                <w:szCs w:val="20"/>
              </w:rPr>
              <w:t>process</w:t>
            </w:r>
            <w:r>
              <w:t>.</w:t>
            </w:r>
          </w:p>
          <w:p w14:paraId="1CE9D228" w14:textId="77777777" w:rsidR="00404753" w:rsidRDefault="00404753" w:rsidP="005759E7">
            <w:pPr>
              <w:spacing w:after="120"/>
            </w:pPr>
            <w:r>
              <w:t>As referred to in Resolution</w:t>
            </w:r>
            <w:r>
              <w:rPr>
                <w:b/>
              </w:rPr>
              <w:t xml:space="preserve"> 223 (Rev. WRC-15)</w:t>
            </w:r>
            <w:r>
              <w:t xml:space="preserve">, some satellite industry representatives have also pointed out that compatibility with mobile satellite services (MSS) operating above 1518 MHz </w:t>
            </w:r>
            <w:r w:rsidR="00991742">
              <w:t xml:space="preserve">will </w:t>
            </w:r>
            <w:r>
              <w:t>need to be considered.</w:t>
            </w:r>
          </w:p>
          <w:p w14:paraId="51301196" w14:textId="77777777" w:rsidR="007D7C29" w:rsidRDefault="00404753" w:rsidP="005759E7">
            <w:pPr>
              <w:spacing w:after="120"/>
              <w:rPr>
                <w:rFonts w:cs="Arial"/>
                <w:szCs w:val="20"/>
              </w:rPr>
            </w:pPr>
            <w:r>
              <w:t>There is strong support domestically from mobile broadband representatives for progressing the re-farming of this band.</w:t>
            </w:r>
            <w:r>
              <w:rPr>
                <w:rFonts w:cs="Arial"/>
                <w:szCs w:val="20"/>
              </w:rPr>
              <w:t xml:space="preserve"> The ACMA released the discussion paper, </w:t>
            </w:r>
            <w:hyperlink r:id="rId42" w:history="1">
              <w:r>
                <w:rPr>
                  <w:rStyle w:val="Hyperlink"/>
                  <w:rFonts w:eastAsiaTheme="majorEastAsia" w:cs="Arial"/>
                  <w:i/>
                  <w:szCs w:val="20"/>
                </w:rPr>
                <w:t xml:space="preserve">Future use of the 1.5 GHz and </w:t>
              </w:r>
              <w:r>
                <w:rPr>
                  <w:rStyle w:val="Hyperlink"/>
                  <w:rFonts w:eastAsiaTheme="majorEastAsia" w:cs="Arial"/>
                  <w:i/>
                  <w:szCs w:val="20"/>
                </w:rPr>
                <w:lastRenderedPageBreak/>
                <w:t>3.6 GHz bands</w:t>
              </w:r>
            </w:hyperlink>
            <w:r>
              <w:rPr>
                <w:rFonts w:cs="Arial"/>
                <w:szCs w:val="20"/>
              </w:rPr>
              <w:t xml:space="preserve"> in October 2016, with 72 submissions received from industry. </w:t>
            </w:r>
          </w:p>
          <w:p w14:paraId="3C1F8527" w14:textId="77777777" w:rsidR="00404753" w:rsidRDefault="00404753" w:rsidP="004A36BB">
            <w:pPr>
              <w:rPr>
                <w:rFonts w:cs="Arial"/>
                <w:szCs w:val="20"/>
              </w:rPr>
            </w:pPr>
            <w:r>
              <w:rPr>
                <w:rFonts w:cs="Arial"/>
                <w:szCs w:val="20"/>
              </w:rPr>
              <w:t xml:space="preserve">In June 2017, the ACMA released a </w:t>
            </w:r>
            <w:hyperlink r:id="rId43" w:history="1">
              <w:r>
                <w:rPr>
                  <w:rStyle w:val="Hyperlink"/>
                  <w:rFonts w:eastAsiaTheme="majorEastAsia" w:cs="Arial"/>
                  <w:szCs w:val="20"/>
                </w:rPr>
                <w:t>consultation package</w:t>
              </w:r>
            </w:hyperlink>
            <w:r>
              <w:rPr>
                <w:rFonts w:cs="Arial"/>
                <w:szCs w:val="20"/>
              </w:rPr>
              <w:t xml:space="preserve"> including </w:t>
            </w:r>
            <w:r>
              <w:rPr>
                <w:rFonts w:cs="Arial"/>
                <w:i/>
                <w:szCs w:val="20"/>
              </w:rPr>
              <w:t>Future use of the 1.5 GHz and 3.6 GHz bands—Summary of and response to 3.6 GHz submissions</w:t>
            </w:r>
            <w:r>
              <w:rPr>
                <w:rFonts w:cs="Arial"/>
                <w:szCs w:val="20"/>
              </w:rPr>
              <w:t xml:space="preserve">. This detailed the ACMA’s decision to progress both the 1.5 GHz and 3.6 GHz bands to the </w:t>
            </w:r>
            <w:r>
              <w:rPr>
                <w:rFonts w:cs="Arial"/>
                <w:i/>
                <w:szCs w:val="20"/>
              </w:rPr>
              <w:t>preliminary replanning</w:t>
            </w:r>
            <w:r>
              <w:rPr>
                <w:rFonts w:cs="Arial"/>
                <w:szCs w:val="20"/>
              </w:rPr>
              <w:t xml:space="preserve"> stage of the ACMA’s process for consideration of additional spectrum for MBB services.</w:t>
            </w:r>
          </w:p>
          <w:p w14:paraId="204404F5" w14:textId="77777777" w:rsidR="00404753" w:rsidRDefault="00954362" w:rsidP="004A36BB">
            <w:pPr>
              <w:pStyle w:val="BodySubHeader"/>
              <w:keepNext/>
            </w:pPr>
            <w:r>
              <w:t>Recent developments</w:t>
            </w:r>
          </w:p>
          <w:p w14:paraId="6C7EF209" w14:textId="77777777" w:rsidR="007D7C29" w:rsidRDefault="00404753" w:rsidP="005759E7">
            <w:pPr>
              <w:spacing w:after="120"/>
            </w:pPr>
            <w:r>
              <w:t xml:space="preserve">ITU-R Working Party 5D </w:t>
            </w:r>
            <w:r>
              <w:rPr>
                <w:lang w:eastAsia="zh-CN"/>
              </w:rPr>
              <w:t xml:space="preserve">has continued </w:t>
            </w:r>
            <w:r>
              <w:rPr>
                <w:rFonts w:eastAsia="SimSun"/>
                <w:lang w:eastAsia="zh-CN"/>
              </w:rPr>
              <w:t>revision of Recommendation ITU-</w:t>
            </w:r>
            <w:r>
              <w:t xml:space="preserve">R M.1036-5 on </w:t>
            </w:r>
            <w:r w:rsidR="00CF29B2">
              <w:t>f</w:t>
            </w:r>
            <w:r>
              <w:t xml:space="preserve">requency arrangements for implementation of the terrestrial component of IMT in the bands identified for IMT in the RRs. The draft revision includes arrangements for the frequency band 1427–1518 MHz. </w:t>
            </w:r>
          </w:p>
          <w:p w14:paraId="5D18249A" w14:textId="77777777" w:rsidR="00404753" w:rsidRDefault="00404753" w:rsidP="005759E7">
            <w:pPr>
              <w:spacing w:after="120"/>
              <w:rPr>
                <w:rFonts w:eastAsia="SimSun"/>
                <w:lang w:eastAsia="zh-CN"/>
              </w:rPr>
            </w:pPr>
            <w:r>
              <w:t xml:space="preserve">Working Party 5D is also undertaking studies called for in Resolution </w:t>
            </w:r>
            <w:r>
              <w:rPr>
                <w:b/>
              </w:rPr>
              <w:t>223 (Rev. WRC-15)</w:t>
            </w:r>
            <w:r>
              <w:t>.</w:t>
            </w:r>
            <w:r>
              <w:rPr>
                <w:rFonts w:eastAsia="SimSun"/>
                <w:lang w:eastAsia="zh-CN"/>
              </w:rPr>
              <w:t xml:space="preserve"> Working Party 5D is aiming to complete these work items by late 2018. </w:t>
            </w:r>
          </w:p>
          <w:p w14:paraId="0240FFFD" w14:textId="77777777" w:rsidR="00404753" w:rsidRDefault="00404753" w:rsidP="004A36BB">
            <w:pPr>
              <w:rPr>
                <w:rFonts w:eastAsia="SimSun"/>
                <w:lang w:eastAsia="zh-CN"/>
              </w:rPr>
            </w:pPr>
            <w:r>
              <w:rPr>
                <w:rFonts w:eastAsia="SimSun"/>
                <w:lang w:eastAsia="zh-CN"/>
              </w:rPr>
              <w:t xml:space="preserve">The AWG has a work plan to develop a report on frequency arrangements for the </w:t>
            </w:r>
            <w:r>
              <w:rPr>
                <w:rFonts w:cs="Arial"/>
              </w:rPr>
              <w:t>1427–1518 MHz</w:t>
            </w:r>
            <w:r>
              <w:rPr>
                <w:rFonts w:eastAsia="SimSun"/>
                <w:lang w:eastAsia="zh-CN"/>
              </w:rPr>
              <w:t xml:space="preserve"> band. The current proposal is to finalise the work at AWG-2</w:t>
            </w:r>
            <w:r w:rsidR="00F67C41">
              <w:rPr>
                <w:rFonts w:eastAsia="SimSun"/>
                <w:lang w:eastAsia="zh-CN"/>
              </w:rPr>
              <w:t>5</w:t>
            </w:r>
            <w:r>
              <w:rPr>
                <w:rFonts w:eastAsia="SimSun"/>
                <w:lang w:eastAsia="zh-CN"/>
              </w:rPr>
              <w:t xml:space="preserve"> in March/April 201</w:t>
            </w:r>
            <w:r w:rsidR="00F67C41">
              <w:rPr>
                <w:rFonts w:eastAsia="SimSun"/>
                <w:lang w:eastAsia="zh-CN"/>
              </w:rPr>
              <w:t xml:space="preserve">9 but </w:t>
            </w:r>
            <w:r w:rsidR="009F1673">
              <w:rPr>
                <w:rFonts w:eastAsia="SimSun"/>
                <w:lang w:eastAsia="zh-CN"/>
              </w:rPr>
              <w:t xml:space="preserve">this </w:t>
            </w:r>
            <w:r w:rsidR="00F67C41">
              <w:rPr>
                <w:rFonts w:eastAsia="SimSun"/>
                <w:lang w:eastAsia="zh-CN"/>
              </w:rPr>
              <w:t>may be reviewed depending</w:t>
            </w:r>
            <w:r w:rsidR="009F1673">
              <w:rPr>
                <w:rFonts w:eastAsia="SimSun"/>
                <w:lang w:eastAsia="zh-CN"/>
              </w:rPr>
              <w:t xml:space="preserve"> </w:t>
            </w:r>
            <w:r w:rsidR="00F67C41">
              <w:rPr>
                <w:rFonts w:eastAsia="SimSun"/>
                <w:lang w:eastAsia="zh-CN"/>
              </w:rPr>
              <w:t>on progress</w:t>
            </w:r>
            <w:r>
              <w:rPr>
                <w:rFonts w:eastAsia="SimSun"/>
                <w:lang w:eastAsia="zh-CN"/>
              </w:rPr>
              <w:t>.</w:t>
            </w:r>
          </w:p>
          <w:p w14:paraId="12A950CC" w14:textId="77777777" w:rsidR="00404753" w:rsidRDefault="00404753" w:rsidP="005759E7">
            <w:pPr>
              <w:pStyle w:val="BodySubHeader"/>
              <w:keepNext/>
            </w:pPr>
            <w:r>
              <w:t>Next steps</w:t>
            </w:r>
          </w:p>
          <w:p w14:paraId="048D6B52" w14:textId="77777777" w:rsidR="00404753" w:rsidRDefault="00404753" w:rsidP="005759E7">
            <w:pPr>
              <w:spacing w:after="120"/>
            </w:pPr>
            <w:r>
              <w:t xml:space="preserve">The ACMA will continue to monitor and engage with stakeholders via the usual international preparatory process to develop Australian positions on studies under </w:t>
            </w:r>
            <w:r>
              <w:rPr>
                <w:rFonts w:cs="Arial"/>
              </w:rPr>
              <w:t xml:space="preserve">Resolution </w:t>
            </w:r>
            <w:r>
              <w:rPr>
                <w:rFonts w:cs="Arial"/>
                <w:b/>
              </w:rPr>
              <w:t xml:space="preserve">223 (Rev. WRC-15) </w:t>
            </w:r>
            <w:r>
              <w:t>and Resolution</w:t>
            </w:r>
            <w:r>
              <w:rPr>
                <w:rFonts w:cs="Arial"/>
                <w:b/>
              </w:rPr>
              <w:t xml:space="preserve"> 761 (WRC-15),</w:t>
            </w:r>
            <w:r>
              <w:rPr>
                <w:rFonts w:cs="Arial"/>
              </w:rPr>
              <w:t xml:space="preserve"> </w:t>
            </w:r>
            <w:r>
              <w:t xml:space="preserve">and other international issues related to the 1.5 GHz band, such as possible new band plans. </w:t>
            </w:r>
          </w:p>
          <w:p w14:paraId="405ADEAA" w14:textId="77777777" w:rsidR="00D0778B" w:rsidRDefault="00D0778B">
            <w:pPr>
              <w:spacing w:after="120"/>
            </w:pPr>
            <w:r>
              <w:t>Following consideration of submissions and request</w:t>
            </w:r>
            <w:r w:rsidR="008A1527">
              <w:t>s</w:t>
            </w:r>
            <w:r>
              <w:t xml:space="preserve"> to prioriti</w:t>
            </w:r>
            <w:r w:rsidR="008A1527">
              <w:t>s</w:t>
            </w:r>
            <w:r>
              <w:t>e other work, the ACMA is deferring further consideration of 1.5</w:t>
            </w:r>
            <w:r w:rsidR="000C5674">
              <w:t xml:space="preserve"> </w:t>
            </w:r>
            <w:r>
              <w:t>GHz matters with the timing of further work to be reassessed in 2020.</w:t>
            </w:r>
          </w:p>
        </w:tc>
        <w:tc>
          <w:tcPr>
            <w:tcW w:w="897" w:type="pct"/>
            <w:tcBorders>
              <w:top w:val="single" w:sz="4" w:space="0" w:color="auto"/>
              <w:left w:val="single" w:sz="4" w:space="0" w:color="auto"/>
              <w:bottom w:val="single" w:sz="4" w:space="0" w:color="auto"/>
              <w:right w:val="single" w:sz="4" w:space="0" w:color="auto"/>
            </w:tcBorders>
          </w:tcPr>
          <w:p w14:paraId="791CEA3C" w14:textId="4DDAFB93" w:rsidR="00404753" w:rsidRDefault="00EF1BC8" w:rsidP="00B926A1">
            <w:pPr>
              <w:pStyle w:val="TableBody"/>
              <w:rPr>
                <w:rFonts w:cs="Arial"/>
                <w:szCs w:val="20"/>
              </w:rPr>
            </w:pPr>
            <w:r w:rsidRPr="00C06614">
              <w:rPr>
                <w:rFonts w:cs="Arial"/>
                <w:szCs w:val="20"/>
              </w:rPr>
              <w:lastRenderedPageBreak/>
              <w:t xml:space="preserve">Further </w:t>
            </w:r>
            <w:r w:rsidRPr="0001077C">
              <w:rPr>
                <w:rFonts w:cs="Arial"/>
                <w:szCs w:val="20"/>
              </w:rPr>
              <w:t>consideration deferred until Q3</w:t>
            </w:r>
            <w:r w:rsidR="0080400A">
              <w:rPr>
                <w:rFonts w:cs="Arial"/>
                <w:szCs w:val="20"/>
              </w:rPr>
              <w:t>–</w:t>
            </w:r>
            <w:r w:rsidR="00B926A1">
              <w:rPr>
                <w:rFonts w:cs="Arial"/>
                <w:szCs w:val="20"/>
              </w:rPr>
              <w:t>Q</w:t>
            </w:r>
            <w:r w:rsidRPr="0001077C">
              <w:rPr>
                <w:rFonts w:cs="Arial"/>
                <w:szCs w:val="20"/>
              </w:rPr>
              <w:t>4 2019</w:t>
            </w:r>
            <w:r w:rsidR="00EA1B89" w:rsidRPr="0001077C">
              <w:rPr>
                <w:rFonts w:cs="Arial"/>
                <w:szCs w:val="20"/>
              </w:rPr>
              <w:t>–</w:t>
            </w:r>
            <w:r w:rsidRPr="0001077C">
              <w:rPr>
                <w:rFonts w:cs="Arial"/>
                <w:szCs w:val="20"/>
              </w:rPr>
              <w:t>20</w:t>
            </w:r>
          </w:p>
        </w:tc>
      </w:tr>
      <w:tr w:rsidR="00F7333F" w14:paraId="16D6FBDA" w14:textId="77777777" w:rsidTr="001B1B7A">
        <w:trPr>
          <w:trHeight w:val="150"/>
        </w:trPr>
        <w:tc>
          <w:tcPr>
            <w:tcW w:w="932" w:type="pct"/>
            <w:tcBorders>
              <w:top w:val="single" w:sz="4" w:space="0" w:color="auto"/>
              <w:left w:val="single" w:sz="4" w:space="0" w:color="auto"/>
              <w:bottom w:val="single" w:sz="4" w:space="0" w:color="auto"/>
              <w:right w:val="single" w:sz="4" w:space="0" w:color="auto"/>
            </w:tcBorders>
          </w:tcPr>
          <w:p w14:paraId="399EAF7E" w14:textId="77777777" w:rsidR="00F7333F" w:rsidRDefault="00BF5FD2" w:rsidP="001B0F77">
            <w:pPr>
              <w:spacing w:after="0" w:line="240" w:lineRule="auto"/>
            </w:pPr>
            <w:r>
              <w:rPr>
                <w:noProof/>
              </w:rPr>
              <w:drawing>
                <wp:inline distT="0" distB="0" distL="0" distR="0" wp14:anchorId="6CEE1569" wp14:editId="04B85961">
                  <wp:extent cx="207010" cy="152400"/>
                  <wp:effectExtent l="0" t="0" r="2540" b="0"/>
                  <wp:docPr id="5" name="Picture 5"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E9794E">
              <w:t xml:space="preserve"> </w:t>
            </w:r>
            <w:r w:rsidR="00F7333F">
              <w:t>1710</w:t>
            </w:r>
            <w:r w:rsidR="00EA1B89">
              <w:t>–</w:t>
            </w:r>
            <w:r w:rsidR="00F7333F">
              <w:t>1785/1805</w:t>
            </w:r>
            <w:r w:rsidR="00EA1B89">
              <w:t>–</w:t>
            </w:r>
            <w:r w:rsidR="00F7333F">
              <w:t>1880 MHz (1800 MHz) in remote areas</w:t>
            </w:r>
          </w:p>
        </w:tc>
        <w:tc>
          <w:tcPr>
            <w:tcW w:w="3171" w:type="pct"/>
            <w:tcBorders>
              <w:top w:val="single" w:sz="4" w:space="0" w:color="auto"/>
              <w:left w:val="single" w:sz="4" w:space="0" w:color="auto"/>
              <w:bottom w:val="single" w:sz="4" w:space="0" w:color="auto"/>
              <w:right w:val="single" w:sz="4" w:space="0" w:color="auto"/>
            </w:tcBorders>
          </w:tcPr>
          <w:p w14:paraId="17BF49E5" w14:textId="77777777" w:rsidR="00F7333F" w:rsidRDefault="00F7333F">
            <w:pPr>
              <w:spacing w:after="120"/>
              <w:rPr>
                <w:rFonts w:cs="Arial"/>
              </w:rPr>
            </w:pPr>
            <w:r>
              <w:rPr>
                <w:rFonts w:cs="Arial"/>
              </w:rPr>
              <w:t>In 2016</w:t>
            </w:r>
            <w:r w:rsidR="00EA1B89">
              <w:rPr>
                <w:rFonts w:cs="Arial"/>
              </w:rPr>
              <w:t>,</w:t>
            </w:r>
            <w:r>
              <w:rPr>
                <w:rFonts w:cs="Arial"/>
              </w:rPr>
              <w:t xml:space="preserve"> the ACMA released </w:t>
            </w:r>
            <w:r w:rsidR="00245069" w:rsidRPr="00493B5D">
              <w:rPr>
                <w:rFonts w:cs="Arial"/>
              </w:rPr>
              <w:t>arrangements</w:t>
            </w:r>
            <w:r>
              <w:rPr>
                <w:rFonts w:cs="Arial"/>
              </w:rPr>
              <w:t xml:space="preserve"> for use of the 1800 MHz band in remote areas for fixed and </w:t>
            </w:r>
            <w:r w:rsidR="00245069" w:rsidRPr="00493B5D">
              <w:rPr>
                <w:rFonts w:cs="Arial"/>
              </w:rPr>
              <w:t>mobile</w:t>
            </w:r>
            <w:r>
              <w:rPr>
                <w:rFonts w:cs="Arial"/>
              </w:rPr>
              <w:t xml:space="preserve"> wireless br</w:t>
            </w:r>
            <w:r w:rsidR="00B54889">
              <w:rPr>
                <w:rFonts w:cs="Arial"/>
              </w:rPr>
              <w:t>o</w:t>
            </w:r>
            <w:r>
              <w:rPr>
                <w:rFonts w:cs="Arial"/>
              </w:rPr>
              <w:t xml:space="preserve">adband services by </w:t>
            </w:r>
            <w:r w:rsidR="00245069" w:rsidRPr="00493B5D">
              <w:rPr>
                <w:rFonts w:cs="Arial"/>
              </w:rPr>
              <w:t>operators</w:t>
            </w:r>
            <w:r w:rsidRPr="00493B5D">
              <w:rPr>
                <w:rFonts w:cs="Arial"/>
              </w:rPr>
              <w:t>.</w:t>
            </w:r>
            <w:r>
              <w:rPr>
                <w:rFonts w:cs="Arial"/>
              </w:rPr>
              <w:t xml:space="preserve"> To manage a potential </w:t>
            </w:r>
            <w:r w:rsidR="00245069" w:rsidRPr="00493B5D">
              <w:rPr>
                <w:rFonts w:cs="Arial"/>
              </w:rPr>
              <w:t>initial</w:t>
            </w:r>
            <w:r>
              <w:rPr>
                <w:rFonts w:cs="Arial"/>
              </w:rPr>
              <w:t xml:space="preserve"> rush in licence applications</w:t>
            </w:r>
            <w:r w:rsidR="00EA1B89">
              <w:rPr>
                <w:rFonts w:cs="Arial"/>
              </w:rPr>
              <w:t>,</w:t>
            </w:r>
            <w:r>
              <w:rPr>
                <w:rFonts w:cs="Arial"/>
              </w:rPr>
              <w:t xml:space="preserve"> a </w:t>
            </w:r>
            <w:r w:rsidR="00245069" w:rsidRPr="00493B5D">
              <w:rPr>
                <w:rFonts w:cs="Arial"/>
              </w:rPr>
              <w:t>priority</w:t>
            </w:r>
            <w:r>
              <w:rPr>
                <w:rFonts w:cs="Arial"/>
              </w:rPr>
              <w:t xml:space="preserve"> assignment model was adopted. </w:t>
            </w:r>
            <w:r w:rsidR="00EA1B89">
              <w:rPr>
                <w:rFonts w:cs="Arial"/>
              </w:rPr>
              <w:t>A</w:t>
            </w:r>
            <w:r>
              <w:rPr>
                <w:rFonts w:cs="Arial"/>
              </w:rPr>
              <w:t>n application window process was also adopted for the initial release of spectrum in the upper 2</w:t>
            </w:r>
            <w:r w:rsidR="00EA1B89">
              <w:rPr>
                <w:rFonts w:cs="Arial"/>
              </w:rPr>
              <w:t xml:space="preserve"> </w:t>
            </w:r>
            <w:r>
              <w:rPr>
                <w:rFonts w:cs="Arial"/>
              </w:rPr>
              <w:t>x</w:t>
            </w:r>
            <w:r w:rsidR="00EA1B89">
              <w:rPr>
                <w:rFonts w:cs="Arial"/>
              </w:rPr>
              <w:t xml:space="preserve"> </w:t>
            </w:r>
            <w:r>
              <w:rPr>
                <w:rFonts w:cs="Arial"/>
              </w:rPr>
              <w:t xml:space="preserve">30 MHz of the band to avoid conflicting assignments being made. </w:t>
            </w:r>
          </w:p>
          <w:p w14:paraId="208296DB" w14:textId="77777777" w:rsidR="00F7333F" w:rsidRPr="005759E7" w:rsidRDefault="00F7333F" w:rsidP="00F7333F">
            <w:pPr>
              <w:pStyle w:val="BodySubHeader"/>
            </w:pPr>
            <w:r w:rsidRPr="00886039">
              <w:lastRenderedPageBreak/>
              <w:t>Recent developments</w:t>
            </w:r>
          </w:p>
          <w:p w14:paraId="4CE22008" w14:textId="77777777" w:rsidR="00F7333F" w:rsidRDefault="00F7333F">
            <w:pPr>
              <w:spacing w:after="120"/>
              <w:rPr>
                <w:rFonts w:cs="Arial"/>
              </w:rPr>
            </w:pPr>
            <w:r>
              <w:rPr>
                <w:rFonts w:cs="Arial"/>
              </w:rPr>
              <w:t xml:space="preserve">The application window process has been finalised and </w:t>
            </w:r>
            <w:r w:rsidR="00245069" w:rsidRPr="00493B5D">
              <w:rPr>
                <w:rFonts w:cs="Arial"/>
              </w:rPr>
              <w:t>prospective</w:t>
            </w:r>
            <w:r w:rsidRPr="00493B5D">
              <w:rPr>
                <w:rFonts w:cs="Arial"/>
              </w:rPr>
              <w:t xml:space="preserve"> </w:t>
            </w:r>
            <w:r w:rsidR="00245069" w:rsidRPr="00493B5D">
              <w:rPr>
                <w:rFonts w:cs="Arial"/>
              </w:rPr>
              <w:t>operators</w:t>
            </w:r>
            <w:r>
              <w:rPr>
                <w:rFonts w:cs="Arial"/>
              </w:rPr>
              <w:t xml:space="preserve"> can now apply for licences on a first-in-time basis.  </w:t>
            </w:r>
          </w:p>
          <w:p w14:paraId="19F3AFE5" w14:textId="77777777" w:rsidR="00F7333F" w:rsidRPr="007846E9" w:rsidRDefault="00F7333F" w:rsidP="00F7333F">
            <w:pPr>
              <w:pStyle w:val="BodySubHeader"/>
            </w:pPr>
            <w:r w:rsidRPr="007846E9">
              <w:t xml:space="preserve">Next </w:t>
            </w:r>
            <w:r w:rsidRPr="00886039">
              <w:t>steps</w:t>
            </w:r>
          </w:p>
          <w:p w14:paraId="34AFA7A1" w14:textId="77777777" w:rsidR="00F7333F" w:rsidRDefault="007B3BC2">
            <w:pPr>
              <w:spacing w:after="120"/>
              <w:rPr>
                <w:rFonts w:cs="Arial"/>
              </w:rPr>
            </w:pPr>
            <w:r>
              <w:t xml:space="preserve">Now that demand for spectrum in the </w:t>
            </w:r>
            <w:r w:rsidR="00F7333F">
              <w:t xml:space="preserve">1800 MHz </w:t>
            </w:r>
            <w:r>
              <w:t xml:space="preserve">band in remote areas is better understood, the ACMA will review the existing </w:t>
            </w:r>
            <w:r w:rsidR="00245069" w:rsidRPr="00493B5D">
              <w:t>arrangements</w:t>
            </w:r>
            <w:r w:rsidRPr="00493B5D">
              <w:t>.</w:t>
            </w:r>
            <w:r>
              <w:t xml:space="preserve"> This includes reassessing </w:t>
            </w:r>
            <w:r w:rsidR="00F7333F">
              <w:t xml:space="preserve">the </w:t>
            </w:r>
            <w:r>
              <w:t xml:space="preserve">need for a </w:t>
            </w:r>
            <w:r w:rsidR="00F7333F">
              <w:t>prior</w:t>
            </w:r>
            <w:r>
              <w:t xml:space="preserve">ity assignment model and could include allowing existing or </w:t>
            </w:r>
            <w:r w:rsidR="00245069" w:rsidRPr="00493B5D">
              <w:t>prospective</w:t>
            </w:r>
            <w:r>
              <w:t xml:space="preserve"> licensees to obtain larger contiguous channels in particular areas.</w:t>
            </w:r>
            <w:r w:rsidRPr="00E876AD">
              <w:t xml:space="preserve"> </w:t>
            </w:r>
            <w:r>
              <w:t xml:space="preserve"> </w:t>
            </w:r>
          </w:p>
        </w:tc>
        <w:tc>
          <w:tcPr>
            <w:tcW w:w="897" w:type="pct"/>
            <w:tcBorders>
              <w:top w:val="single" w:sz="4" w:space="0" w:color="auto"/>
              <w:left w:val="single" w:sz="4" w:space="0" w:color="auto"/>
              <w:bottom w:val="single" w:sz="4" w:space="0" w:color="auto"/>
              <w:right w:val="single" w:sz="4" w:space="0" w:color="auto"/>
            </w:tcBorders>
          </w:tcPr>
          <w:p w14:paraId="51BE913F" w14:textId="77777777" w:rsidR="00F7333F" w:rsidRDefault="001F2399" w:rsidP="001B0F77">
            <w:pPr>
              <w:pStyle w:val="TableBody"/>
              <w:spacing w:after="120" w:line="240" w:lineRule="atLeast"/>
              <w:rPr>
                <w:rFonts w:cs="Arial"/>
                <w:szCs w:val="20"/>
              </w:rPr>
            </w:pPr>
            <w:r>
              <w:rPr>
                <w:rFonts w:cs="Arial"/>
                <w:szCs w:val="20"/>
              </w:rPr>
              <w:lastRenderedPageBreak/>
              <w:t>Q4 2018</w:t>
            </w:r>
            <w:r w:rsidR="00EA1B89">
              <w:rPr>
                <w:rFonts w:cs="Arial"/>
                <w:szCs w:val="20"/>
              </w:rPr>
              <w:t>–</w:t>
            </w:r>
            <w:r>
              <w:rPr>
                <w:rFonts w:cs="Arial"/>
                <w:szCs w:val="20"/>
              </w:rPr>
              <w:t>19 (</w:t>
            </w:r>
            <w:r w:rsidR="00EA1B89">
              <w:rPr>
                <w:rFonts w:cs="Arial"/>
                <w:szCs w:val="20"/>
              </w:rPr>
              <w:t>d</w:t>
            </w:r>
            <w:r w:rsidR="007B3BC2">
              <w:rPr>
                <w:rFonts w:cs="Arial"/>
                <w:szCs w:val="20"/>
              </w:rPr>
              <w:t xml:space="preserve">iscussion </w:t>
            </w:r>
            <w:r>
              <w:rPr>
                <w:rFonts w:cs="Arial"/>
                <w:szCs w:val="20"/>
              </w:rPr>
              <w:t>paper)</w:t>
            </w:r>
          </w:p>
        </w:tc>
      </w:tr>
      <w:tr w:rsidR="001B0F77" w14:paraId="4FAADA9B" w14:textId="77777777" w:rsidTr="001B1B7A">
        <w:trPr>
          <w:trHeight w:val="150"/>
        </w:trPr>
        <w:tc>
          <w:tcPr>
            <w:tcW w:w="932" w:type="pct"/>
            <w:tcBorders>
              <w:top w:val="single" w:sz="4" w:space="0" w:color="auto"/>
              <w:left w:val="single" w:sz="4" w:space="0" w:color="auto"/>
              <w:bottom w:val="single" w:sz="4" w:space="0" w:color="auto"/>
              <w:right w:val="single" w:sz="4" w:space="0" w:color="auto"/>
            </w:tcBorders>
          </w:tcPr>
          <w:p w14:paraId="50888521" w14:textId="77777777" w:rsidR="001B0F77" w:rsidRDefault="001B0F77" w:rsidP="001B0F77">
            <w:pPr>
              <w:spacing w:after="0" w:line="240" w:lineRule="auto"/>
            </w:pPr>
            <w:r>
              <w:t xml:space="preserve">26 GHz </w:t>
            </w:r>
          </w:p>
          <w:p w14:paraId="20681FE7" w14:textId="77777777" w:rsidR="001B0F77" w:rsidRDefault="001B0F77" w:rsidP="001B0F77">
            <w:pPr>
              <w:spacing w:after="0" w:line="240" w:lineRule="auto"/>
            </w:pPr>
            <w:r>
              <w:t>(24.25–27.5 GHz)</w:t>
            </w:r>
          </w:p>
        </w:tc>
        <w:tc>
          <w:tcPr>
            <w:tcW w:w="3171" w:type="pct"/>
            <w:tcBorders>
              <w:top w:val="single" w:sz="4" w:space="0" w:color="auto"/>
              <w:left w:val="single" w:sz="4" w:space="0" w:color="auto"/>
              <w:bottom w:val="single" w:sz="4" w:space="0" w:color="auto"/>
              <w:right w:val="single" w:sz="4" w:space="0" w:color="auto"/>
            </w:tcBorders>
          </w:tcPr>
          <w:p w14:paraId="559C9D62" w14:textId="77777777" w:rsidR="001B0F77" w:rsidRDefault="001B0F77" w:rsidP="001B0F77">
            <w:pPr>
              <w:spacing w:after="120"/>
              <w:rPr>
                <w:rFonts w:cs="Arial"/>
              </w:rPr>
            </w:pPr>
            <w:r>
              <w:rPr>
                <w:rFonts w:cs="Arial"/>
              </w:rPr>
              <w:t xml:space="preserve">WRC-19 agenda item 1.13 is to consider identification of frequency </w:t>
            </w:r>
            <w:r w:rsidRPr="00BB38F9">
              <w:rPr>
                <w:rFonts w:cs="Arial"/>
              </w:rPr>
              <w:t>bands for the future development of IMT,</w:t>
            </w:r>
            <w:r>
              <w:rPr>
                <w:rFonts w:cs="Arial"/>
              </w:rPr>
              <w:t xml:space="preserve"> including possible additional allocations to the mobile service on a primary basis. This agenda item is widely acknowledged to be focusing on spectrum harmonisation requirements for 5G mobile broadband technologies. The 26 GHz band is one of the bands under consideration as part of WRC-19 agenda item 1.13.</w:t>
            </w:r>
          </w:p>
          <w:p w14:paraId="744EA8D7" w14:textId="77777777" w:rsidR="001B0F77" w:rsidRDefault="001B0F77" w:rsidP="00EA1B89">
            <w:pPr>
              <w:spacing w:after="120"/>
            </w:pPr>
            <w:r>
              <w:t xml:space="preserve">Following consideration of feedback to the ACMA’s </w:t>
            </w:r>
            <w:r>
              <w:rPr>
                <w:i/>
              </w:rPr>
              <w:t>Five-year spectrum outlook 2016–20</w:t>
            </w:r>
            <w:r>
              <w:t xml:space="preserve">, released in October 2016, the ACMA hosted a spectrum tune-up in September 2017 to solicit further industry views on the use of 26 GHz and other mmWave bands by broadband services. The ACMA also invited formal submissions on the issues raised for discussion at the event. </w:t>
            </w:r>
          </w:p>
          <w:p w14:paraId="08B0440F" w14:textId="77777777" w:rsidR="001B0F77" w:rsidRPr="007846E9" w:rsidRDefault="001B0F77" w:rsidP="001B0F77">
            <w:pPr>
              <w:spacing w:after="120"/>
            </w:pPr>
            <w:r w:rsidRPr="001E5818">
              <w:t xml:space="preserve">The tune-up </w:t>
            </w:r>
            <w:r>
              <w:t xml:space="preserve">also </w:t>
            </w:r>
            <w:r w:rsidRPr="001E5818">
              <w:t xml:space="preserve">floated some early ACMA thinking on potential technical planning scenarios and posed a number of </w:t>
            </w:r>
            <w:hyperlink r:id="rId44" w:history="1">
              <w:r w:rsidRPr="001E5818">
                <w:rPr>
                  <w:rStyle w:val="Hyperlink"/>
                </w:rPr>
                <w:t>questions</w:t>
              </w:r>
            </w:hyperlink>
            <w:r w:rsidRPr="001E5818">
              <w:t xml:space="preserve"> for industry input</w:t>
            </w:r>
            <w:r>
              <w:t>—</w:t>
            </w:r>
            <w:r w:rsidRPr="001E5818">
              <w:t xml:space="preserve">27 </w:t>
            </w:r>
            <w:hyperlink r:id="rId45" w:history="1">
              <w:r w:rsidRPr="001E5818">
                <w:rPr>
                  <w:rStyle w:val="Hyperlink"/>
                </w:rPr>
                <w:t>responses</w:t>
              </w:r>
            </w:hyperlink>
            <w:r w:rsidRPr="001E5818">
              <w:t xml:space="preserve"> were received. </w:t>
            </w:r>
            <w:r w:rsidRPr="001E5818">
              <w:rPr>
                <w:bCs/>
              </w:rPr>
              <w:t>A key question</w:t>
            </w:r>
            <w:r>
              <w:rPr>
                <w:bCs/>
              </w:rPr>
              <w:t xml:space="preserve"> posed in the tune-up</w:t>
            </w:r>
            <w:r w:rsidRPr="001E5818">
              <w:rPr>
                <w:bCs/>
              </w:rPr>
              <w:t xml:space="preserve"> was the appropriateness of accelerating the band through the </w:t>
            </w:r>
            <w:r w:rsidRPr="001E5818">
              <w:rPr>
                <w:bCs/>
                <w:i/>
              </w:rPr>
              <w:t xml:space="preserve">initial </w:t>
            </w:r>
            <w:r w:rsidRPr="007846E9">
              <w:rPr>
                <w:i/>
              </w:rPr>
              <w:t xml:space="preserve">investigation </w:t>
            </w:r>
            <w:r w:rsidRPr="007846E9">
              <w:t xml:space="preserve">phase to the </w:t>
            </w:r>
            <w:r w:rsidRPr="007846E9">
              <w:rPr>
                <w:i/>
              </w:rPr>
              <w:t xml:space="preserve">preliminary replanning </w:t>
            </w:r>
            <w:r w:rsidRPr="007846E9">
              <w:t xml:space="preserve">stage. </w:t>
            </w:r>
          </w:p>
          <w:p w14:paraId="6D2FA1FA" w14:textId="77777777" w:rsidR="001B0F77" w:rsidRPr="005759E7" w:rsidRDefault="001B0F77" w:rsidP="001B0F77">
            <w:pPr>
              <w:pStyle w:val="BodySubHeader"/>
            </w:pPr>
            <w:r w:rsidRPr="00886039">
              <w:t>Recent developments</w:t>
            </w:r>
          </w:p>
          <w:p w14:paraId="5765EC4E" w14:textId="77777777" w:rsidR="001B0F77" w:rsidRDefault="001B0F77" w:rsidP="001B0F77">
            <w:pPr>
              <w:spacing w:after="120"/>
            </w:pPr>
            <w:r>
              <w:t xml:space="preserve">Following the tune-up hosted in September 2017 and consideration of feedback, the ACMA has decided to include the 26 GHz band under </w:t>
            </w:r>
            <w:r>
              <w:rPr>
                <w:i/>
              </w:rPr>
              <w:t>preliminary replanning</w:t>
            </w:r>
            <w:r>
              <w:t>.</w:t>
            </w:r>
          </w:p>
          <w:p w14:paraId="7C27492B" w14:textId="77777777" w:rsidR="001B0F77" w:rsidRDefault="001B0F77" w:rsidP="001B0F77">
            <w:pPr>
              <w:spacing w:after="120"/>
            </w:pPr>
            <w:r>
              <w:t xml:space="preserve">Given the importance of aligning domestic technical arrangements with larger overseas markets so that economies of scale can be achieved and ensuring coexistence with global services such as passive earth observation, the ACMA is looking closely to international </w:t>
            </w:r>
            <w:r>
              <w:lastRenderedPageBreak/>
              <w:t xml:space="preserve">developments, particularly in Europe, to assist in determining what conditions are appropriate to consider in any Australian release of the band.  </w:t>
            </w:r>
          </w:p>
          <w:p w14:paraId="0A2EF8DA" w14:textId="77777777" w:rsidR="001B0F77" w:rsidRDefault="001B0F77" w:rsidP="001B0F77">
            <w:pPr>
              <w:spacing w:after="120"/>
            </w:pPr>
            <w:r>
              <w:t xml:space="preserve">In March and April 2018, the Electronic Communication Committee of CEPT (ECC) consulted on a draft decision titled </w:t>
            </w:r>
            <w:r w:rsidRPr="00113D99">
              <w:rPr>
                <w:i/>
              </w:rPr>
              <w:t>Harmonised technical conditions for Mobile/Fixed Communications Networks (MFCN) in the band 24.25-27.5 GHz</w:t>
            </w:r>
            <w:r>
              <w:t xml:space="preserve">. This draft decision addressed sharing and compatibility conditions to ensure coexistence with other spectrum users and included technical conditions to achieve this coexistence. </w:t>
            </w:r>
          </w:p>
          <w:p w14:paraId="470D6AFB" w14:textId="77777777" w:rsidR="001B0F77" w:rsidRDefault="001B0F77" w:rsidP="001B0F77">
            <w:pPr>
              <w:spacing w:after="120"/>
            </w:pPr>
            <w:r>
              <w:t xml:space="preserve">It was previously thought that clarity on some key technical coexistence considerations, particularly regarding compatibility with the earth exploration satellite service (EESS) would be resolved in Europe during the first half of 2018, which would have informed domestic considerations in roughly the same period. However, outcomes of the European process </w:t>
            </w:r>
            <w:r w:rsidR="00FB0E4A">
              <w:t>have not yet concluded</w:t>
            </w:r>
            <w:r>
              <w:t>.</w:t>
            </w:r>
          </w:p>
          <w:p w14:paraId="68CE0A54" w14:textId="77777777" w:rsidR="001B0F77" w:rsidRDefault="001B0F77" w:rsidP="001B0F77">
            <w:pPr>
              <w:spacing w:after="120"/>
            </w:pPr>
            <w:r>
              <w:t xml:space="preserve">This lack of clarity and uncertainty has contributed to the decision by the ACMA not to progress consideration of the band as fast as contemplated in last year’s FYSO. (See also discussion in the </w:t>
            </w:r>
            <w:r w:rsidRPr="00BE6916">
              <w:rPr>
                <w:i/>
              </w:rPr>
              <w:t>Forward allocation work plan</w:t>
            </w:r>
            <w:r>
              <w:t xml:space="preserve"> for further details). </w:t>
            </w:r>
          </w:p>
          <w:p w14:paraId="436F2EFA" w14:textId="77777777" w:rsidR="001B0F77" w:rsidRPr="007846E9" w:rsidRDefault="001B0F77" w:rsidP="001B0F77">
            <w:pPr>
              <w:pStyle w:val="BodySubHeader"/>
            </w:pPr>
            <w:r w:rsidRPr="007846E9">
              <w:t xml:space="preserve">Next </w:t>
            </w:r>
            <w:r w:rsidRPr="00886039">
              <w:t>steps</w:t>
            </w:r>
          </w:p>
          <w:p w14:paraId="1B6A0D55" w14:textId="77777777" w:rsidR="001B0F77" w:rsidRPr="00177387" w:rsidRDefault="001B0F77" w:rsidP="001B0F77">
            <w:pPr>
              <w:spacing w:after="120"/>
            </w:pPr>
            <w:r>
              <w:t>The</w:t>
            </w:r>
            <w:r w:rsidRPr="00177387">
              <w:t xml:space="preserve"> ACMA </w:t>
            </w:r>
            <w:r>
              <w:t>is considering what an acceler</w:t>
            </w:r>
            <w:r w:rsidRPr="00177387">
              <w:t xml:space="preserve">ated process </w:t>
            </w:r>
            <w:r>
              <w:t xml:space="preserve">for the 26 GHz band would look like. This includes thinking </w:t>
            </w:r>
            <w:r w:rsidR="000C7185">
              <w:t xml:space="preserve">through </w:t>
            </w:r>
            <w:r w:rsidRPr="00177387">
              <w:t>a range of potential options</w:t>
            </w:r>
            <w:r w:rsidR="00744418">
              <w:t>,</w:t>
            </w:r>
            <w:r w:rsidRPr="00177387">
              <w:t xml:space="preserve"> both</w:t>
            </w:r>
            <w:r w:rsidR="000C7185">
              <w:t xml:space="preserve"> for</w:t>
            </w:r>
            <w:r w:rsidRPr="00177387">
              <w:t xml:space="preserve"> </w:t>
            </w:r>
            <w:r w:rsidRPr="00177387">
              <w:rPr>
                <w:i/>
              </w:rPr>
              <w:t xml:space="preserve">what </w:t>
            </w:r>
            <w:r w:rsidRPr="00177387">
              <w:t xml:space="preserve">should be allocated, in terms of specific frequencies and areas, and </w:t>
            </w:r>
            <w:r w:rsidRPr="00177387">
              <w:rPr>
                <w:i/>
              </w:rPr>
              <w:t xml:space="preserve">how </w:t>
            </w:r>
            <w:r w:rsidRPr="00177387">
              <w:t xml:space="preserve">the band should be allocated, in terms of which licence types should be adopted to meet a range of potentially varying wireless broadband use cases. </w:t>
            </w:r>
          </w:p>
          <w:p w14:paraId="4E8E278E" w14:textId="77777777" w:rsidR="001B0F77" w:rsidRPr="00177387" w:rsidRDefault="001B0F77" w:rsidP="001B0F77">
            <w:pPr>
              <w:keepNext/>
              <w:keepLines/>
              <w:spacing w:after="80"/>
            </w:pPr>
            <w:r w:rsidRPr="00177387">
              <w:lastRenderedPageBreak/>
              <w:t xml:space="preserve">Specifically, </w:t>
            </w:r>
            <w:r>
              <w:t>potential approaches</w:t>
            </w:r>
            <w:r w:rsidRPr="00177387">
              <w:t xml:space="preserve"> </w:t>
            </w:r>
            <w:r>
              <w:t>are likely to</w:t>
            </w:r>
            <w:r w:rsidRPr="00177387">
              <w:t xml:space="preserve"> represent combinations of:</w:t>
            </w:r>
          </w:p>
          <w:p w14:paraId="3E905CD6" w14:textId="77777777" w:rsidR="001B0F77" w:rsidRPr="00177387" w:rsidRDefault="001B0F77" w:rsidP="001B0F77">
            <w:pPr>
              <w:pStyle w:val="ListBullet"/>
              <w:keepNext/>
              <w:keepLines/>
            </w:pPr>
            <w:r w:rsidRPr="00886039">
              <w:t>allocating</w:t>
            </w:r>
            <w:r w:rsidRPr="00177387">
              <w:t xml:space="preserve"> </w:t>
            </w:r>
            <w:r>
              <w:t>all or some fraction of the 26 GHz band (how much and in what part of the band would be informed by technical coexistence considerations)</w:t>
            </w:r>
          </w:p>
          <w:p w14:paraId="434646F2" w14:textId="77777777" w:rsidR="001B0F77" w:rsidRPr="00177387" w:rsidRDefault="001B0F77" w:rsidP="001B1B7A">
            <w:pPr>
              <w:pStyle w:val="ListBullet"/>
              <w:keepNext/>
              <w:keepLines/>
              <w:spacing w:after="120"/>
            </w:pPr>
            <w:r>
              <w:t xml:space="preserve">different licensing approaches </w:t>
            </w:r>
            <w:r w:rsidRPr="00177387">
              <w:t>to facilitate access for a number of different potential deployment models</w:t>
            </w:r>
            <w:r>
              <w:t xml:space="preserve">. This could include area-based </w:t>
            </w:r>
            <w:r w:rsidRPr="00177387">
              <w:t>spectrum licen</w:t>
            </w:r>
            <w:r>
              <w:t>sing in</w:t>
            </w:r>
            <w:r w:rsidRPr="00177387">
              <w:t xml:space="preserve"> either major metropolitan areas only, </w:t>
            </w:r>
            <w:r w:rsidRPr="00177387">
              <w:rPr>
                <w:i/>
              </w:rPr>
              <w:t>or</w:t>
            </w:r>
            <w:r w:rsidRPr="00177387">
              <w:t xml:space="preserve"> metro areas </w:t>
            </w:r>
            <w:r w:rsidRPr="00177387">
              <w:rPr>
                <w:i/>
              </w:rPr>
              <w:t xml:space="preserve">and </w:t>
            </w:r>
            <w:r w:rsidRPr="00177387">
              <w:t xml:space="preserve">regional centres </w:t>
            </w:r>
            <w:r w:rsidRPr="00DB69B8">
              <w:t>along with</w:t>
            </w:r>
            <w:r w:rsidRPr="00177387">
              <w:rPr>
                <w:i/>
              </w:rPr>
              <w:t xml:space="preserve"> </w:t>
            </w:r>
            <w:r w:rsidRPr="00177387">
              <w:t xml:space="preserve">(potentially) apparatus </w:t>
            </w:r>
            <w:r w:rsidRPr="00DB69B8">
              <w:t>and/or</w:t>
            </w:r>
            <w:r w:rsidRPr="00177387">
              <w:rPr>
                <w:i/>
              </w:rPr>
              <w:t xml:space="preserve"> </w:t>
            </w:r>
            <w:r w:rsidRPr="00177387">
              <w:t xml:space="preserve">class licensing </w:t>
            </w:r>
            <w:r>
              <w:t>in various parts of the band and areas.</w:t>
            </w:r>
          </w:p>
          <w:p w14:paraId="7A1C9D82" w14:textId="77777777" w:rsidR="001B0F77" w:rsidRDefault="001B0F77" w:rsidP="001B0F77">
            <w:pPr>
              <w:spacing w:after="120"/>
            </w:pPr>
            <w:r>
              <w:t>Internationally, as discussed above in the monitoring section regarding other bands being studied under WRC-</w:t>
            </w:r>
            <w:r w:rsidRPr="00E53CF1">
              <w:t>19 agenda item 1</w:t>
            </w:r>
            <w:r>
              <w:t xml:space="preserve">.13, the ACMA intends to continue engaging with stakeholders via the usual international preparatory process to develop Australian positions on WRC-19 agenda item 1.13, which includes the 26 GHz band. </w:t>
            </w:r>
          </w:p>
          <w:p w14:paraId="36D37E23" w14:textId="77777777" w:rsidR="001B0F77" w:rsidRDefault="001B0F77" w:rsidP="001B0F77">
            <w:pPr>
              <w:spacing w:after="120"/>
            </w:pPr>
            <w:r>
              <w:t xml:space="preserve">The current Australian Preliminary View considers the 26 GHz band favourably for a possible IMT identification: </w:t>
            </w:r>
            <w:r w:rsidRPr="00B851E3">
              <w:t xml:space="preserve">Based on current studies, </w:t>
            </w:r>
            <w:r>
              <w:t xml:space="preserve">the Australian position is </w:t>
            </w:r>
            <w:r w:rsidRPr="00B851E3">
              <w:t>that some or all of the 24.25</w:t>
            </w:r>
            <w:r>
              <w:t>–</w:t>
            </w:r>
            <w:r w:rsidRPr="00B851E3">
              <w:t>27.5 GHz frequency band is likely to be a suitable candidate for an IMT identification. Australia will monitor ongoing studies on this band and will revise its opinion on this band as necessary.</w:t>
            </w:r>
            <w:r w:rsidRPr="00DB69B8">
              <w:rPr>
                <w:i/>
              </w:rPr>
              <w:t xml:space="preserve"> </w:t>
            </w:r>
            <w:r>
              <w:t xml:space="preserve"> </w:t>
            </w:r>
          </w:p>
        </w:tc>
        <w:tc>
          <w:tcPr>
            <w:tcW w:w="897" w:type="pct"/>
            <w:tcBorders>
              <w:top w:val="single" w:sz="4" w:space="0" w:color="auto"/>
              <w:left w:val="single" w:sz="4" w:space="0" w:color="auto"/>
              <w:bottom w:val="single" w:sz="4" w:space="0" w:color="auto"/>
              <w:right w:val="single" w:sz="4" w:space="0" w:color="auto"/>
            </w:tcBorders>
          </w:tcPr>
          <w:p w14:paraId="6A9ACC92" w14:textId="77777777" w:rsidR="001B0F77" w:rsidRDefault="001B0F77" w:rsidP="001B0F77">
            <w:pPr>
              <w:pStyle w:val="TableBody"/>
              <w:spacing w:after="120" w:line="240" w:lineRule="atLeast"/>
              <w:rPr>
                <w:rFonts w:cs="Arial"/>
                <w:szCs w:val="20"/>
              </w:rPr>
            </w:pPr>
            <w:r>
              <w:rPr>
                <w:rFonts w:cs="Arial"/>
                <w:szCs w:val="20"/>
              </w:rPr>
              <w:lastRenderedPageBreak/>
              <w:t>Q1 2018–19</w:t>
            </w:r>
            <w:r w:rsidR="00097539">
              <w:rPr>
                <w:rFonts w:cs="Arial"/>
                <w:szCs w:val="20"/>
              </w:rPr>
              <w:t xml:space="preserve"> (options paper)</w:t>
            </w:r>
          </w:p>
          <w:p w14:paraId="4FA6DE4C" w14:textId="77777777" w:rsidR="001B0F77" w:rsidRDefault="001B0F77" w:rsidP="001B0F77">
            <w:pPr>
              <w:pStyle w:val="TableBody"/>
              <w:rPr>
                <w:rFonts w:cs="Arial"/>
                <w:szCs w:val="20"/>
              </w:rPr>
            </w:pPr>
            <w:r>
              <w:rPr>
                <w:rFonts w:cs="Arial"/>
                <w:szCs w:val="20"/>
              </w:rPr>
              <w:t>Q2 2018–19</w:t>
            </w:r>
            <w:r w:rsidR="00097539">
              <w:rPr>
                <w:rFonts w:cs="Arial"/>
                <w:szCs w:val="20"/>
              </w:rPr>
              <w:t xml:space="preserve"> (target for decision)</w:t>
            </w:r>
          </w:p>
        </w:tc>
      </w:tr>
    </w:tbl>
    <w:p w14:paraId="689153B5" w14:textId="77777777" w:rsidR="004869C3" w:rsidRDefault="004869C3" w:rsidP="005759E7">
      <w:pPr>
        <w:pStyle w:val="ACMASpaceaftertable"/>
      </w:pPr>
    </w:p>
    <w:p w14:paraId="2A453A12" w14:textId="77777777" w:rsidR="00F46EA9" w:rsidRDefault="003D3608" w:rsidP="00350C72">
      <w:pPr>
        <w:pStyle w:val="ACMATableHeader"/>
        <w:keepNext/>
      </w:pPr>
      <w:bookmarkStart w:id="234" w:name="_Toc510104949"/>
      <w:bookmarkStart w:id="235" w:name="_Toc510105746"/>
      <w:r>
        <w:lastRenderedPageBreak/>
        <w:t>Re</w:t>
      </w:r>
      <w:r w:rsidR="00E064B5">
        <w:t>-</w:t>
      </w:r>
      <w:r w:rsidR="00A9310F">
        <w:t>planning</w:t>
      </w:r>
      <w:bookmarkEnd w:id="234"/>
      <w:bookmarkEnd w:id="235"/>
    </w:p>
    <w:tbl>
      <w:tblPr>
        <w:tblStyle w:val="TableGrid"/>
        <w:tblW w:w="4922" w:type="pct"/>
        <w:tblInd w:w="226" w:type="dxa"/>
        <w:tblLayout w:type="fixed"/>
        <w:tblCellMar>
          <w:top w:w="57" w:type="dxa"/>
          <w:left w:w="57" w:type="dxa"/>
          <w:bottom w:w="57" w:type="dxa"/>
          <w:right w:w="57" w:type="dxa"/>
        </w:tblCellMar>
        <w:tblLook w:val="04A0" w:firstRow="1" w:lastRow="0" w:firstColumn="1" w:lastColumn="0" w:noHBand="0" w:noVBand="1"/>
        <w:tblCaption w:val="Key projects, activities and milestones in the replanning phase."/>
      </w:tblPr>
      <w:tblGrid>
        <w:gridCol w:w="1329"/>
        <w:gridCol w:w="4962"/>
        <w:gridCol w:w="1250"/>
      </w:tblGrid>
      <w:tr w:rsidR="00D900BB" w14:paraId="5F7F1C40" w14:textId="77777777" w:rsidTr="00972721">
        <w:trPr>
          <w:trHeight w:val="361"/>
          <w:tblHeader/>
        </w:trPr>
        <w:tc>
          <w:tcPr>
            <w:tcW w:w="881"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3CD18CEC" w14:textId="77777777" w:rsidR="00D900BB" w:rsidRDefault="00D900BB" w:rsidP="00B747E1">
            <w:pPr>
              <w:pStyle w:val="TableHeading"/>
            </w:pPr>
            <w:r>
              <w:t>Key projects</w:t>
            </w:r>
          </w:p>
        </w:tc>
        <w:tc>
          <w:tcPr>
            <w:tcW w:w="3289"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E17FF0B" w14:textId="77777777" w:rsidR="00D900BB" w:rsidRDefault="00D900BB" w:rsidP="00B747E1">
            <w:pPr>
              <w:pStyle w:val="TableHeading"/>
            </w:pPr>
            <w:r>
              <w:t>Activity</w:t>
            </w:r>
          </w:p>
        </w:tc>
        <w:tc>
          <w:tcPr>
            <w:tcW w:w="829"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9A02383" w14:textId="77777777" w:rsidR="00D900BB" w:rsidRDefault="00D900BB" w:rsidP="00B747E1">
            <w:pPr>
              <w:pStyle w:val="TableHeading"/>
            </w:pPr>
            <w:r>
              <w:t>Milestones</w:t>
            </w:r>
          </w:p>
        </w:tc>
      </w:tr>
      <w:tr w:rsidR="00D900BB" w14:paraId="642DFF3C" w14:textId="77777777" w:rsidTr="00214E77">
        <w:trPr>
          <w:trHeight w:val="6955"/>
        </w:trPr>
        <w:tc>
          <w:tcPr>
            <w:tcW w:w="881" w:type="pct"/>
            <w:tcBorders>
              <w:top w:val="single" w:sz="4" w:space="0" w:color="auto"/>
              <w:left w:val="single" w:sz="4" w:space="0" w:color="auto"/>
              <w:bottom w:val="single" w:sz="4" w:space="0" w:color="auto"/>
              <w:right w:val="single" w:sz="4" w:space="0" w:color="auto"/>
            </w:tcBorders>
          </w:tcPr>
          <w:p w14:paraId="2A6B9DEA" w14:textId="77777777" w:rsidR="00D900BB" w:rsidRDefault="00D900BB" w:rsidP="00350C72">
            <w:pPr>
              <w:spacing w:after="0" w:line="240" w:lineRule="auto"/>
            </w:pPr>
            <w:r>
              <w:t>850 MHz expansion band (809–824 MHz and 854–869 MHz)</w:t>
            </w:r>
          </w:p>
        </w:tc>
        <w:tc>
          <w:tcPr>
            <w:tcW w:w="3289" w:type="pct"/>
            <w:tcBorders>
              <w:top w:val="single" w:sz="4" w:space="0" w:color="auto"/>
              <w:left w:val="single" w:sz="4" w:space="0" w:color="auto"/>
              <w:bottom w:val="single" w:sz="4" w:space="0" w:color="auto"/>
              <w:right w:val="single" w:sz="4" w:space="0" w:color="auto"/>
            </w:tcBorders>
          </w:tcPr>
          <w:p w14:paraId="7D95EB9A" w14:textId="77777777" w:rsidR="00D900BB" w:rsidRDefault="00D900BB" w:rsidP="00350C72">
            <w:r>
              <w:t xml:space="preserve">In November 2015, the ACMA released its </w:t>
            </w:r>
            <w:hyperlink r:id="rId46" w:history="1">
              <w:r>
                <w:rPr>
                  <w:rStyle w:val="Hyperlink"/>
                  <w:i/>
                </w:rPr>
                <w:t>Long-term strategy for the 803–960 MHz band</w:t>
              </w:r>
            </w:hyperlink>
            <w:r>
              <w:t xml:space="preserve"> decision paper, signalling an end to the review of this band and commencement of a long-term implementation plan to put those decisions into effect. One of the key decisions arising from the review was that 2 x 15 MHz of 4G-standardised spectrum will be made available for new mobile broadband services from 2024. This spectrum will come from the 850 MHz ‘expansion band’, which is lower adjacent to the current 850 MHz 3G band used by Telstra and VHA. </w:t>
            </w:r>
          </w:p>
          <w:p w14:paraId="7B7C6BBA" w14:textId="77777777" w:rsidR="00D900BB" w:rsidRDefault="00954362" w:rsidP="00350C72">
            <w:pPr>
              <w:pStyle w:val="BodySubHeader"/>
            </w:pPr>
            <w:r>
              <w:t>Recent developments</w:t>
            </w:r>
          </w:p>
          <w:p w14:paraId="6F3DB747" w14:textId="77777777" w:rsidR="00D900BB" w:rsidRDefault="00D900BB" w:rsidP="00350C72">
            <w:pPr>
              <w:spacing w:after="120"/>
            </w:pPr>
            <w:r>
              <w:t xml:space="preserve">The project is now in an </w:t>
            </w:r>
            <w:r>
              <w:rPr>
                <w:i/>
              </w:rPr>
              <w:t>implementation</w:t>
            </w:r>
            <w:r>
              <w:t xml:space="preserve"> phase, which is largely geared towards the clearance/relocation of incumbent services operating in the 850 MHz expansion frequencies earmarked for mobile broadband. The implementation plan is contained in the decision paper and the ACMA has established an implementation team to ensure that the milestones of the plan are reached with minimal disruption. </w:t>
            </w:r>
          </w:p>
          <w:p w14:paraId="2DAD109C" w14:textId="77777777" w:rsidR="00D900BB" w:rsidRDefault="00D900BB" w:rsidP="00350C72">
            <w:pPr>
              <w:spacing w:after="120"/>
            </w:pPr>
            <w:r>
              <w:t>As part of this process, in July 2016, a new RALI (FX 22) was put in place to facilitate the transition of single frequency fixed links (SFFLs) and studio-to-transmitter links (STLs) to the new arrangements</w:t>
            </w:r>
            <w:r w:rsidR="00886039">
              <w:t>. F</w:t>
            </w:r>
            <w:r>
              <w:t>urther incremental updates will be made to this and other instructions as the implementation phase progresses.</w:t>
            </w:r>
          </w:p>
          <w:p w14:paraId="63630736" w14:textId="77777777" w:rsidR="00D900BB" w:rsidRDefault="00D900BB" w:rsidP="00350C72">
            <w:pPr>
              <w:pStyle w:val="BodySubHeader"/>
            </w:pPr>
            <w:r>
              <w:t>Next steps</w:t>
            </w:r>
          </w:p>
          <w:p w14:paraId="69189AF3" w14:textId="77777777" w:rsidR="00D900BB" w:rsidRDefault="00D900BB" w:rsidP="00350C72">
            <w:pPr>
              <w:spacing w:after="120"/>
            </w:pPr>
            <w:r>
              <w:t>The implementation plan set out in the decision paper contains various milestones for the transition to long-term arrangements by incumbent services. The ACMA is considering a range of options for how and when the 850 MHz expansion band might be allocated.</w:t>
            </w:r>
            <w:r w:rsidR="00F65F83">
              <w:t xml:space="preserve"> The intent remains to allocate it concurrently with the 900 MHz band, pending further consideration of 900 MHz reconfiguration options (see below).</w:t>
            </w:r>
          </w:p>
        </w:tc>
        <w:tc>
          <w:tcPr>
            <w:tcW w:w="829" w:type="pct"/>
            <w:tcBorders>
              <w:top w:val="single" w:sz="4" w:space="0" w:color="auto"/>
              <w:left w:val="single" w:sz="4" w:space="0" w:color="auto"/>
              <w:bottom w:val="single" w:sz="4" w:space="0" w:color="auto"/>
              <w:right w:val="single" w:sz="4" w:space="0" w:color="auto"/>
            </w:tcBorders>
          </w:tcPr>
          <w:p w14:paraId="6FFD518A" w14:textId="77777777" w:rsidR="00D900BB" w:rsidRDefault="00FF3B1A" w:rsidP="00350C72">
            <w:pPr>
              <w:pStyle w:val="TableBody"/>
              <w:rPr>
                <w:rFonts w:cs="Arial"/>
                <w:szCs w:val="20"/>
              </w:rPr>
            </w:pPr>
            <w:r w:rsidRPr="00E53CF1">
              <w:rPr>
                <w:rFonts w:cs="Arial"/>
                <w:szCs w:val="20"/>
              </w:rPr>
              <w:t xml:space="preserve">See forward allocation </w:t>
            </w:r>
            <w:r w:rsidR="00BA6010" w:rsidRPr="00E53CF1">
              <w:rPr>
                <w:rFonts w:cs="Arial"/>
                <w:szCs w:val="20"/>
              </w:rPr>
              <w:t>work plan</w:t>
            </w:r>
            <w:r w:rsidRPr="00E53CF1">
              <w:rPr>
                <w:rFonts w:cs="Arial"/>
                <w:szCs w:val="20"/>
              </w:rPr>
              <w:t xml:space="preserve"> scenarios for allocation</w:t>
            </w:r>
            <w:r>
              <w:rPr>
                <w:rFonts w:cs="Arial"/>
                <w:szCs w:val="20"/>
              </w:rPr>
              <w:t xml:space="preserve"> timing options</w:t>
            </w:r>
          </w:p>
        </w:tc>
      </w:tr>
      <w:tr w:rsidR="00D900BB" w14:paraId="0057C1D0" w14:textId="77777777" w:rsidTr="00214E77">
        <w:trPr>
          <w:trHeight w:val="150"/>
        </w:trPr>
        <w:tc>
          <w:tcPr>
            <w:tcW w:w="881" w:type="pct"/>
            <w:tcBorders>
              <w:top w:val="single" w:sz="4" w:space="0" w:color="auto"/>
              <w:left w:val="single" w:sz="4" w:space="0" w:color="auto"/>
              <w:bottom w:val="single" w:sz="4" w:space="0" w:color="auto"/>
              <w:right w:val="single" w:sz="4" w:space="0" w:color="auto"/>
            </w:tcBorders>
          </w:tcPr>
          <w:p w14:paraId="53A59469" w14:textId="77777777" w:rsidR="00C40966" w:rsidRDefault="00D900BB" w:rsidP="004A36BB">
            <w:pPr>
              <w:spacing w:after="0" w:line="240" w:lineRule="auto"/>
            </w:pPr>
            <w:r>
              <w:t xml:space="preserve">900 MHz </w:t>
            </w:r>
          </w:p>
          <w:p w14:paraId="123B6467" w14:textId="77777777" w:rsidR="00D900BB" w:rsidRDefault="00D900BB" w:rsidP="004A36BB">
            <w:pPr>
              <w:spacing w:after="0" w:line="240" w:lineRule="auto"/>
            </w:pPr>
            <w:r>
              <w:t>(890–915 MHz and 935–960 MHz)</w:t>
            </w:r>
          </w:p>
        </w:tc>
        <w:tc>
          <w:tcPr>
            <w:tcW w:w="3289" w:type="pct"/>
            <w:tcBorders>
              <w:top w:val="single" w:sz="4" w:space="0" w:color="auto"/>
              <w:left w:val="single" w:sz="4" w:space="0" w:color="auto"/>
              <w:bottom w:val="single" w:sz="4" w:space="0" w:color="auto"/>
              <w:right w:val="single" w:sz="4" w:space="0" w:color="auto"/>
            </w:tcBorders>
          </w:tcPr>
          <w:p w14:paraId="0B87783F" w14:textId="77777777" w:rsidR="00D900BB" w:rsidRDefault="002957B9" w:rsidP="005759E7">
            <w:pPr>
              <w:spacing w:after="120"/>
            </w:pPr>
            <w:r>
              <w:t xml:space="preserve">In </w:t>
            </w:r>
            <w:r w:rsidR="00D900BB">
              <w:t xml:space="preserve">October 2017, the ACMA </w:t>
            </w:r>
            <w:r>
              <w:t>r</w:t>
            </w:r>
            <w:r w:rsidR="00D900BB">
              <w:t xml:space="preserve">eleased a paper setting out </w:t>
            </w:r>
            <w:r w:rsidR="00886039">
              <w:t>its</w:t>
            </w:r>
            <w:r w:rsidR="00D900BB">
              <w:t xml:space="preserve"> preferred reconfiguration option for the </w:t>
            </w:r>
            <w:r w:rsidR="00BC673B">
              <w:t>900 </w:t>
            </w:r>
            <w:r w:rsidR="00D900BB">
              <w:t xml:space="preserve">MHz (890–915/935–960 MHz) band in order to transition from the current 2 x 8.2 or 8.4 MHz frequency arrangements to multiples of 2 x 5 MHz. </w:t>
            </w:r>
            <w:r w:rsidR="006B5401">
              <w:t xml:space="preserve">The Authority also invited submissions about two related issues, </w:t>
            </w:r>
            <w:r>
              <w:t xml:space="preserve">namely </w:t>
            </w:r>
            <w:r w:rsidR="006B5401">
              <w:t xml:space="preserve">the appropriate treatment of the 2 x 1 MHz of spectrum immediately adjacent to and below the existing 850 MHz spectrum licences, and the duration of any spectrum licences issued in </w:t>
            </w:r>
            <w:r w:rsidR="00BC673B">
              <w:t>900 </w:t>
            </w:r>
            <w:r w:rsidR="006B5401">
              <w:t>MHz or the 850 MHz expansion band.</w:t>
            </w:r>
            <w:r w:rsidR="00D900BB">
              <w:t xml:space="preserve"> </w:t>
            </w:r>
          </w:p>
          <w:p w14:paraId="671CBE89" w14:textId="77777777" w:rsidR="00FF3B1A" w:rsidRDefault="00D900BB" w:rsidP="005759E7">
            <w:pPr>
              <w:spacing w:after="120"/>
            </w:pPr>
            <w:r>
              <w:t xml:space="preserve">A reconfiguration of licensing in the 900 MHz ‘GSM’ band (890–915/935–960 MHz) into 5 MHz FDD blocks, as well as a related proposal to implement a </w:t>
            </w:r>
            <w:r>
              <w:lastRenderedPageBreak/>
              <w:t>1</w:t>
            </w:r>
            <w:r w:rsidR="00350C72">
              <w:t> </w:t>
            </w:r>
            <w:r>
              <w:t xml:space="preserve">MHz downshift of the 850 MHz band (to maximise the utility of the adjacent 900 MHz GSM band), was originally proposed under the review of the 803–960 MHz band. </w:t>
            </w:r>
          </w:p>
          <w:p w14:paraId="54C669B5" w14:textId="77777777" w:rsidR="00D900BB" w:rsidRDefault="00954362" w:rsidP="00DB69B8">
            <w:pPr>
              <w:pStyle w:val="BodySubHeader"/>
              <w:keepNext/>
              <w:keepLines/>
            </w:pPr>
            <w:r>
              <w:t>Recent developments</w:t>
            </w:r>
          </w:p>
          <w:p w14:paraId="5AD219B9" w14:textId="77777777" w:rsidR="00D900BB" w:rsidRDefault="002957B9" w:rsidP="004A36BB">
            <w:r>
              <w:t>The ACMA is currently considering resp</w:t>
            </w:r>
            <w:r w:rsidR="00FF3B1A">
              <w:t>onses to its October 2017 paper.</w:t>
            </w:r>
          </w:p>
          <w:p w14:paraId="4931A74C" w14:textId="77777777" w:rsidR="00D900BB" w:rsidRDefault="00D900BB" w:rsidP="005759E7">
            <w:pPr>
              <w:pStyle w:val="BodySubHeader"/>
              <w:keepNext/>
            </w:pPr>
            <w:r>
              <w:t xml:space="preserve">Next </w:t>
            </w:r>
            <w:r w:rsidRPr="00886039">
              <w:t>steps</w:t>
            </w:r>
          </w:p>
          <w:p w14:paraId="10EBE754" w14:textId="77777777" w:rsidR="00D900BB" w:rsidRDefault="00F65F83" w:rsidP="00836444">
            <w:pPr>
              <w:spacing w:after="120"/>
            </w:pPr>
            <w:r>
              <w:t>Reconfiguration</w:t>
            </w:r>
            <w:r w:rsidR="00D900BB">
              <w:t xml:space="preserve"> options for</w:t>
            </w:r>
            <w:r>
              <w:t xml:space="preserve"> the band remain under consideration, including</w:t>
            </w:r>
            <w:r w:rsidR="00D900BB">
              <w:t xml:space="preserve"> the </w:t>
            </w:r>
            <w:r>
              <w:t xml:space="preserve">above-mentioned </w:t>
            </w:r>
            <w:r w:rsidR="00D900BB">
              <w:t xml:space="preserve">clearance and reallocation </w:t>
            </w:r>
            <w:r>
              <w:t>proposal, in consultation with industry. This includes definition of time</w:t>
            </w:r>
            <w:r w:rsidR="00DB69B8">
              <w:t xml:space="preserve"> </w:t>
            </w:r>
            <w:r>
              <w:t>frames and any associated transitional arrang</w:t>
            </w:r>
            <w:r w:rsidR="00461D92">
              <w:t>e</w:t>
            </w:r>
            <w:r>
              <w:t>ments.</w:t>
            </w:r>
            <w:r w:rsidR="00D900BB">
              <w:t xml:space="preserve"> </w:t>
            </w:r>
          </w:p>
        </w:tc>
        <w:tc>
          <w:tcPr>
            <w:tcW w:w="829" w:type="pct"/>
            <w:tcBorders>
              <w:top w:val="single" w:sz="4" w:space="0" w:color="auto"/>
              <w:left w:val="single" w:sz="4" w:space="0" w:color="auto"/>
              <w:bottom w:val="single" w:sz="4" w:space="0" w:color="auto"/>
              <w:right w:val="single" w:sz="4" w:space="0" w:color="auto"/>
            </w:tcBorders>
          </w:tcPr>
          <w:p w14:paraId="45163764" w14:textId="77777777" w:rsidR="00D900BB" w:rsidRDefault="00FF3B1A" w:rsidP="004A36BB">
            <w:pPr>
              <w:pStyle w:val="TableBody"/>
              <w:rPr>
                <w:rFonts w:cs="Arial"/>
                <w:szCs w:val="20"/>
              </w:rPr>
            </w:pPr>
            <w:r>
              <w:rPr>
                <w:rFonts w:cs="Arial"/>
                <w:szCs w:val="20"/>
              </w:rPr>
              <w:lastRenderedPageBreak/>
              <w:t xml:space="preserve">See forward allocation </w:t>
            </w:r>
            <w:r w:rsidR="00BA6010">
              <w:rPr>
                <w:rFonts w:cs="Arial"/>
                <w:szCs w:val="20"/>
              </w:rPr>
              <w:t>work plan</w:t>
            </w:r>
            <w:r>
              <w:rPr>
                <w:rFonts w:cs="Arial"/>
                <w:szCs w:val="20"/>
              </w:rPr>
              <w:t xml:space="preserve"> scenarios for allocation timing options</w:t>
            </w:r>
          </w:p>
        </w:tc>
      </w:tr>
      <w:tr w:rsidR="00D900BB" w14:paraId="7551A272" w14:textId="77777777" w:rsidTr="00214E77">
        <w:trPr>
          <w:trHeight w:val="150"/>
        </w:trPr>
        <w:tc>
          <w:tcPr>
            <w:tcW w:w="881" w:type="pct"/>
            <w:tcBorders>
              <w:top w:val="single" w:sz="4" w:space="0" w:color="auto"/>
              <w:left w:val="single" w:sz="4" w:space="0" w:color="auto"/>
              <w:bottom w:val="single" w:sz="4" w:space="0" w:color="auto"/>
              <w:right w:val="single" w:sz="4" w:space="0" w:color="auto"/>
            </w:tcBorders>
          </w:tcPr>
          <w:p w14:paraId="41B2EACE" w14:textId="77777777" w:rsidR="00C76DB6" w:rsidRPr="0027128C" w:rsidRDefault="00C76DB6">
            <w:pPr>
              <w:pStyle w:val="TableBody"/>
              <w:spacing w:line="240" w:lineRule="atLeast"/>
            </w:pPr>
            <w:r w:rsidRPr="0027128C">
              <w:t>3</w:t>
            </w:r>
            <w:r w:rsidR="00D900BB" w:rsidRPr="0027128C">
              <w:t xml:space="preserve">.6 GHz </w:t>
            </w:r>
          </w:p>
          <w:p w14:paraId="07E6BB0E" w14:textId="77777777" w:rsidR="00D900BB" w:rsidRDefault="00C76DB6" w:rsidP="001B1B7A">
            <w:pPr>
              <w:pStyle w:val="TableBody"/>
              <w:spacing w:after="80" w:line="240" w:lineRule="atLeast"/>
            </w:pPr>
            <w:r w:rsidRPr="0027128C">
              <w:t>(3575-3700 MHz)</w:t>
            </w:r>
          </w:p>
          <w:p w14:paraId="39A2BE43" w14:textId="77777777" w:rsidR="006D718C" w:rsidRPr="00530A2E" w:rsidRDefault="006D718C" w:rsidP="00205F9D">
            <w:pPr>
              <w:pStyle w:val="TableBody"/>
              <w:spacing w:line="240" w:lineRule="atLeast"/>
              <w:rPr>
                <w:rFonts w:cs="Arial"/>
                <w:szCs w:val="20"/>
              </w:rPr>
            </w:pPr>
            <w:r w:rsidRPr="0027128C">
              <w:rPr>
                <w:rFonts w:cs="Arial"/>
                <w:szCs w:val="20"/>
              </w:rPr>
              <w:t>5.6 GHz</w:t>
            </w:r>
            <w:r>
              <w:rPr>
                <w:rFonts w:cs="Arial"/>
                <w:szCs w:val="20"/>
              </w:rPr>
              <w:t xml:space="preserve"> </w:t>
            </w:r>
            <w:r w:rsidR="00205F9D">
              <w:rPr>
                <w:rFonts w:cs="Arial"/>
                <w:szCs w:val="20"/>
              </w:rPr>
              <w:t>(</w:t>
            </w:r>
            <w:r w:rsidRPr="0027128C">
              <w:rPr>
                <w:rFonts w:cs="Arial"/>
                <w:szCs w:val="20"/>
              </w:rPr>
              <w:t>5600</w:t>
            </w:r>
            <w:r>
              <w:rPr>
                <w:rFonts w:cs="Arial"/>
                <w:szCs w:val="20"/>
              </w:rPr>
              <w:t>–</w:t>
            </w:r>
            <w:r w:rsidRPr="0027128C">
              <w:rPr>
                <w:rFonts w:cs="Arial"/>
                <w:szCs w:val="20"/>
              </w:rPr>
              <w:t>5650 MHz</w:t>
            </w:r>
            <w:r w:rsidR="00205F9D">
              <w:rPr>
                <w:rFonts w:cs="Arial"/>
                <w:szCs w:val="20"/>
              </w:rPr>
              <w:t>)</w:t>
            </w:r>
          </w:p>
        </w:tc>
        <w:tc>
          <w:tcPr>
            <w:tcW w:w="3289" w:type="pct"/>
            <w:tcBorders>
              <w:top w:val="single" w:sz="4" w:space="0" w:color="auto"/>
              <w:left w:val="single" w:sz="4" w:space="0" w:color="auto"/>
              <w:bottom w:val="single" w:sz="4" w:space="0" w:color="auto"/>
              <w:right w:val="single" w:sz="4" w:space="0" w:color="auto"/>
            </w:tcBorders>
          </w:tcPr>
          <w:p w14:paraId="3369D054" w14:textId="77777777" w:rsidR="008A199D" w:rsidRPr="0027128C" w:rsidRDefault="00D900BB" w:rsidP="005759E7">
            <w:pPr>
              <w:spacing w:after="120"/>
              <w:rPr>
                <w:rFonts w:cs="Arial"/>
                <w:szCs w:val="20"/>
              </w:rPr>
            </w:pPr>
            <w:r w:rsidRPr="0027128C">
              <w:rPr>
                <w:rFonts w:cs="Arial"/>
                <w:szCs w:val="20"/>
              </w:rPr>
              <w:t>In October 2017</w:t>
            </w:r>
            <w:r w:rsidR="00886039">
              <w:rPr>
                <w:rFonts w:cs="Arial"/>
                <w:szCs w:val="20"/>
              </w:rPr>
              <w:t>,</w:t>
            </w:r>
            <w:r w:rsidRPr="0027128C">
              <w:rPr>
                <w:rFonts w:cs="Arial"/>
                <w:szCs w:val="20"/>
              </w:rPr>
              <w:t xml:space="preserve"> the ACMA announced the preliminary views and outcomes of its </w:t>
            </w:r>
            <w:hyperlink r:id="rId47" w:history="1">
              <w:r w:rsidRPr="0027128C">
                <w:rPr>
                  <w:rStyle w:val="Hyperlink"/>
                  <w:rFonts w:cs="Arial"/>
                  <w:szCs w:val="20"/>
                </w:rPr>
                <w:t>3.6 GHz band review</w:t>
              </w:r>
            </w:hyperlink>
            <w:r w:rsidRPr="0027128C">
              <w:rPr>
                <w:rFonts w:cs="Arial"/>
                <w:szCs w:val="20"/>
              </w:rPr>
              <w:t xml:space="preserve">. </w:t>
            </w:r>
          </w:p>
          <w:p w14:paraId="7D6A04FF" w14:textId="77777777" w:rsidR="0063695E" w:rsidRDefault="00D900BB" w:rsidP="00D24EC9">
            <w:pPr>
              <w:spacing w:after="80"/>
              <w:rPr>
                <w:rFonts w:cs="Arial"/>
                <w:szCs w:val="20"/>
              </w:rPr>
            </w:pPr>
            <w:r w:rsidRPr="0027128C">
              <w:rPr>
                <w:rFonts w:cs="Arial"/>
                <w:szCs w:val="20"/>
              </w:rPr>
              <w:t>As part of the outcomes announced</w:t>
            </w:r>
            <w:r w:rsidR="00886039">
              <w:rPr>
                <w:rFonts w:cs="Arial"/>
                <w:szCs w:val="20"/>
              </w:rPr>
              <w:t>,</w:t>
            </w:r>
            <w:r w:rsidRPr="0027128C">
              <w:rPr>
                <w:rFonts w:cs="Arial"/>
                <w:szCs w:val="20"/>
              </w:rPr>
              <w:t xml:space="preserve"> there were a number of mitigation measures identified for affected incumbent point-to-multipoint licensees. This included</w:t>
            </w:r>
            <w:r w:rsidR="0063695E">
              <w:rPr>
                <w:rFonts w:cs="Arial"/>
                <w:szCs w:val="20"/>
              </w:rPr>
              <w:t>:</w:t>
            </w:r>
          </w:p>
          <w:p w14:paraId="674EACB6" w14:textId="77777777" w:rsidR="0063695E" w:rsidRDefault="00D900BB" w:rsidP="00D24EC9">
            <w:pPr>
              <w:pStyle w:val="ListBullet"/>
              <w:rPr>
                <w:rFonts w:cs="Arial"/>
                <w:szCs w:val="20"/>
              </w:rPr>
            </w:pPr>
            <w:r w:rsidRPr="0027128C">
              <w:rPr>
                <w:rFonts w:cs="Arial"/>
                <w:szCs w:val="20"/>
              </w:rPr>
              <w:t>making part of the 5600</w:t>
            </w:r>
            <w:r w:rsidR="00886039">
              <w:rPr>
                <w:rFonts w:cs="Arial"/>
                <w:szCs w:val="20"/>
              </w:rPr>
              <w:t>–</w:t>
            </w:r>
            <w:r w:rsidRPr="0027128C">
              <w:rPr>
                <w:rFonts w:cs="Arial"/>
                <w:szCs w:val="20"/>
              </w:rPr>
              <w:t xml:space="preserve">5650 MHz (5.6 GHz) band </w:t>
            </w:r>
            <w:r w:rsidRPr="0027128C">
              <w:rPr>
                <w:lang w:eastAsia="en-US"/>
              </w:rPr>
              <w:t xml:space="preserve">available under a coordinated apparatus-licensed regime for site-based point-to-multipoint </w:t>
            </w:r>
            <w:r w:rsidRPr="00E53CF1">
              <w:rPr>
                <w:lang w:eastAsia="en-US"/>
              </w:rPr>
              <w:t>uses</w:t>
            </w:r>
            <w:r w:rsidRPr="0027128C">
              <w:rPr>
                <w:lang w:eastAsia="en-US"/>
              </w:rPr>
              <w:t xml:space="preserve"> </w:t>
            </w:r>
            <w:r w:rsidRPr="0027128C">
              <w:rPr>
                <w:rFonts w:cs="Arial"/>
                <w:szCs w:val="20"/>
              </w:rPr>
              <w:t>outside of metropolitan areas</w:t>
            </w:r>
          </w:p>
          <w:p w14:paraId="5044A88B" w14:textId="77777777" w:rsidR="00D900BB" w:rsidRPr="0027128C" w:rsidRDefault="00D900BB" w:rsidP="00D24EC9">
            <w:pPr>
              <w:pStyle w:val="ListBullet"/>
              <w:rPr>
                <w:rFonts w:cs="Arial"/>
                <w:szCs w:val="20"/>
              </w:rPr>
            </w:pPr>
            <w:r w:rsidRPr="0027128C">
              <w:rPr>
                <w:lang w:eastAsia="en-US"/>
              </w:rPr>
              <w:t xml:space="preserve">a long-term alternative for site-based point-to-multipoint users </w:t>
            </w:r>
            <w:r w:rsidR="0063695E">
              <w:rPr>
                <w:lang w:eastAsia="en-US"/>
              </w:rPr>
              <w:t xml:space="preserve">who </w:t>
            </w:r>
            <w:r w:rsidRPr="0027128C">
              <w:rPr>
                <w:lang w:eastAsia="en-US"/>
              </w:rPr>
              <w:t>provide services that are not conducive to a spectrum-licensed regime</w:t>
            </w:r>
            <w:r w:rsidR="00DE05DB">
              <w:rPr>
                <w:lang w:eastAsia="en-US"/>
              </w:rPr>
              <w:t xml:space="preserve"> and</w:t>
            </w:r>
            <w:r w:rsidR="00640BB1">
              <w:rPr>
                <w:lang w:eastAsia="en-US"/>
              </w:rPr>
              <w:t xml:space="preserve"> for</w:t>
            </w:r>
            <w:r w:rsidR="0063695E">
              <w:rPr>
                <w:lang w:eastAsia="en-US"/>
              </w:rPr>
              <w:t xml:space="preserve"> </w:t>
            </w:r>
            <w:r w:rsidR="00DE05DB">
              <w:rPr>
                <w:lang w:eastAsia="en-US"/>
              </w:rPr>
              <w:t>t</w:t>
            </w:r>
            <w:r w:rsidRPr="0027128C">
              <w:rPr>
                <w:lang w:eastAsia="en-US"/>
              </w:rPr>
              <w:t>he use of coordinated apparatus licen</w:t>
            </w:r>
            <w:r w:rsidR="002957B9" w:rsidRPr="0027128C">
              <w:rPr>
                <w:lang w:eastAsia="en-US"/>
              </w:rPr>
              <w:t>c</w:t>
            </w:r>
            <w:r w:rsidRPr="0027128C">
              <w:rPr>
                <w:lang w:eastAsia="en-US"/>
              </w:rPr>
              <w:t xml:space="preserve">es to facilitate protection of incumbent </w:t>
            </w:r>
            <w:r w:rsidRPr="00E53CF1">
              <w:rPr>
                <w:lang w:eastAsia="en-US"/>
              </w:rPr>
              <w:t xml:space="preserve">Bureau of Meteorology </w:t>
            </w:r>
            <w:r w:rsidRPr="0027128C">
              <w:rPr>
                <w:lang w:eastAsia="en-US"/>
              </w:rPr>
              <w:t>radars in the band.</w:t>
            </w:r>
          </w:p>
          <w:p w14:paraId="7502C1F2" w14:textId="77777777" w:rsidR="00D900BB" w:rsidRPr="0027128C" w:rsidRDefault="00954362" w:rsidP="004A36BB">
            <w:pPr>
              <w:pStyle w:val="BodySubHeader"/>
            </w:pPr>
            <w:r>
              <w:t>Recent developments</w:t>
            </w:r>
          </w:p>
          <w:p w14:paraId="05D75EDF" w14:textId="77777777" w:rsidR="00D900BB" w:rsidRPr="0027128C" w:rsidRDefault="00D900BB" w:rsidP="005759E7">
            <w:pPr>
              <w:spacing w:after="120"/>
              <w:rPr>
                <w:rFonts w:cs="Arial"/>
                <w:szCs w:val="20"/>
              </w:rPr>
            </w:pPr>
            <w:r w:rsidRPr="0027128C">
              <w:rPr>
                <w:rFonts w:cs="Arial"/>
                <w:szCs w:val="20"/>
              </w:rPr>
              <w:t xml:space="preserve">In December 2017, the ACMA made a recommendation to the Minister for </w:t>
            </w:r>
            <w:r w:rsidR="00886039">
              <w:rPr>
                <w:rFonts w:cs="Arial"/>
                <w:szCs w:val="20"/>
              </w:rPr>
              <w:t>C</w:t>
            </w:r>
            <w:r w:rsidRPr="0027128C">
              <w:rPr>
                <w:rFonts w:cs="Arial"/>
                <w:szCs w:val="20"/>
              </w:rPr>
              <w:t xml:space="preserve">ommunications that </w:t>
            </w:r>
            <w:r w:rsidR="00886039">
              <w:rPr>
                <w:rFonts w:cs="Arial"/>
                <w:szCs w:val="20"/>
              </w:rPr>
              <w:t>he</w:t>
            </w:r>
            <w:r w:rsidR="00886039" w:rsidRPr="0027128C">
              <w:rPr>
                <w:rFonts w:cs="Arial"/>
                <w:szCs w:val="20"/>
              </w:rPr>
              <w:t xml:space="preserve"> </w:t>
            </w:r>
            <w:r w:rsidRPr="0027128C">
              <w:rPr>
                <w:rFonts w:cs="Arial"/>
                <w:szCs w:val="20"/>
              </w:rPr>
              <w:t>re-allocate the 3.6 GHz band in regional and metropolitan areas for the issue of spectrum licences.</w:t>
            </w:r>
          </w:p>
          <w:p w14:paraId="325F5187" w14:textId="77777777" w:rsidR="00D900BB" w:rsidRPr="0027128C" w:rsidRDefault="00D900BB" w:rsidP="00FF3B1A">
            <w:pPr>
              <w:rPr>
                <w:rFonts w:cs="Arial"/>
                <w:szCs w:val="20"/>
              </w:rPr>
            </w:pPr>
            <w:r w:rsidRPr="0027128C">
              <w:rPr>
                <w:rFonts w:cs="Arial"/>
                <w:szCs w:val="20"/>
              </w:rPr>
              <w:t>In March 2018</w:t>
            </w:r>
            <w:r w:rsidR="00E706F9">
              <w:rPr>
                <w:rFonts w:cs="Arial"/>
                <w:szCs w:val="20"/>
              </w:rPr>
              <w:t>,</w:t>
            </w:r>
            <w:r w:rsidRPr="0027128C">
              <w:rPr>
                <w:rFonts w:cs="Arial"/>
                <w:szCs w:val="20"/>
              </w:rPr>
              <w:t xml:space="preserve"> the </w:t>
            </w:r>
            <w:r w:rsidR="00E706F9">
              <w:rPr>
                <w:rFonts w:cs="Arial"/>
                <w:szCs w:val="20"/>
              </w:rPr>
              <w:t>m</w:t>
            </w:r>
            <w:r w:rsidRPr="0027128C">
              <w:rPr>
                <w:rFonts w:cs="Arial"/>
                <w:szCs w:val="20"/>
              </w:rPr>
              <w:t>inister re-allocated the 3.6 GHz band for the issue of spectrum licences in regional and remote areas of Australia.</w:t>
            </w:r>
            <w:r w:rsidRPr="0027128C">
              <w:rPr>
                <w:rStyle w:val="FootnoteReference"/>
                <w:rFonts w:cs="Arial"/>
                <w:szCs w:val="20"/>
              </w:rPr>
              <w:footnoteReference w:id="33"/>
            </w:r>
            <w:r w:rsidRPr="0027128C">
              <w:rPr>
                <w:rFonts w:cs="Arial"/>
                <w:szCs w:val="20"/>
              </w:rPr>
              <w:t xml:space="preserve"> </w:t>
            </w:r>
          </w:p>
          <w:p w14:paraId="0DC76A95" w14:textId="77777777" w:rsidR="008A199D" w:rsidRPr="0027128C" w:rsidRDefault="00D900BB" w:rsidP="005759E7">
            <w:pPr>
              <w:pStyle w:val="BodySubHeader"/>
              <w:rPr>
                <w:rFonts w:cs="Arial"/>
                <w:szCs w:val="20"/>
              </w:rPr>
            </w:pPr>
            <w:r w:rsidRPr="00530A2E">
              <w:t xml:space="preserve">Next </w:t>
            </w:r>
            <w:r w:rsidR="00E706F9">
              <w:t>s</w:t>
            </w:r>
            <w:r w:rsidRPr="00530A2E">
              <w:t>teps</w:t>
            </w:r>
            <w:r w:rsidR="00447762">
              <w:rPr>
                <w:rFonts w:cs="Arial"/>
                <w:szCs w:val="20"/>
              </w:rPr>
              <w:t xml:space="preserve"> </w:t>
            </w:r>
            <w:r w:rsidRPr="00CA45D7">
              <w:rPr>
                <w:rFonts w:cs="Arial"/>
                <w:szCs w:val="20"/>
              </w:rPr>
              <w:t xml:space="preserve"> </w:t>
            </w:r>
          </w:p>
          <w:p w14:paraId="365094FF" w14:textId="77777777" w:rsidR="00205F9D" w:rsidRDefault="00D900BB" w:rsidP="006D718C">
            <w:pPr>
              <w:pStyle w:val="TableBody"/>
              <w:spacing w:after="120"/>
              <w:rPr>
                <w:rFonts w:cs="Arial"/>
                <w:szCs w:val="20"/>
              </w:rPr>
            </w:pPr>
            <w:r w:rsidRPr="0027128C">
              <w:rPr>
                <w:rFonts w:cs="Arial"/>
                <w:szCs w:val="20"/>
              </w:rPr>
              <w:t xml:space="preserve">Following on from the </w:t>
            </w:r>
            <w:r w:rsidR="00E706F9">
              <w:rPr>
                <w:rFonts w:cs="Arial"/>
                <w:szCs w:val="20"/>
              </w:rPr>
              <w:t>m</w:t>
            </w:r>
            <w:r w:rsidRPr="0027128C">
              <w:rPr>
                <w:rFonts w:cs="Arial"/>
                <w:szCs w:val="20"/>
              </w:rPr>
              <w:t>inister’s reallocation declaration</w:t>
            </w:r>
            <w:r w:rsidR="00E706F9">
              <w:rPr>
                <w:rFonts w:cs="Arial"/>
                <w:szCs w:val="20"/>
              </w:rPr>
              <w:t>,</w:t>
            </w:r>
            <w:r w:rsidRPr="0027128C">
              <w:rPr>
                <w:rFonts w:cs="Arial"/>
                <w:szCs w:val="20"/>
              </w:rPr>
              <w:t xml:space="preserve"> the ACMA </w:t>
            </w:r>
            <w:r w:rsidR="006D718C">
              <w:rPr>
                <w:rFonts w:cs="Arial"/>
                <w:szCs w:val="20"/>
              </w:rPr>
              <w:t xml:space="preserve">has progressed planning work to </w:t>
            </w:r>
            <w:r w:rsidRPr="0027128C">
              <w:rPr>
                <w:rFonts w:cs="Arial"/>
                <w:szCs w:val="20"/>
              </w:rPr>
              <w:t xml:space="preserve">put in place a </w:t>
            </w:r>
            <w:r w:rsidRPr="0027128C">
              <w:rPr>
                <w:lang w:eastAsia="en-US"/>
              </w:rPr>
              <w:t xml:space="preserve">coordinated apparatus-licensed </w:t>
            </w:r>
            <w:r w:rsidRPr="0027128C">
              <w:rPr>
                <w:lang w:eastAsia="en-US"/>
              </w:rPr>
              <w:lastRenderedPageBreak/>
              <w:t xml:space="preserve">regime for site-based point-to-multipoint uses </w:t>
            </w:r>
            <w:r w:rsidRPr="0027128C">
              <w:rPr>
                <w:rFonts w:cs="Arial"/>
                <w:szCs w:val="20"/>
              </w:rPr>
              <w:t xml:space="preserve">outside of metropolitan areas in the 5.6 GHz band. </w:t>
            </w:r>
          </w:p>
          <w:p w14:paraId="4C70BD53" w14:textId="77777777" w:rsidR="00D900BB" w:rsidRPr="0027128C" w:rsidRDefault="00D900BB" w:rsidP="006D718C">
            <w:pPr>
              <w:pStyle w:val="TableBody"/>
              <w:spacing w:after="120"/>
            </w:pPr>
            <w:r w:rsidRPr="0027128C">
              <w:rPr>
                <w:rFonts w:cs="Arial"/>
                <w:szCs w:val="20"/>
              </w:rPr>
              <w:t xml:space="preserve">Consultation on proposed arrangements is </w:t>
            </w:r>
            <w:r w:rsidR="003C19DC">
              <w:rPr>
                <w:rFonts w:cs="Arial"/>
                <w:szCs w:val="20"/>
              </w:rPr>
              <w:t>progressing</w:t>
            </w:r>
            <w:r w:rsidR="001A42E7">
              <w:rPr>
                <w:rFonts w:cs="Arial"/>
                <w:szCs w:val="20"/>
              </w:rPr>
              <w:t xml:space="preserve">, </w:t>
            </w:r>
            <w:r w:rsidRPr="0027128C">
              <w:rPr>
                <w:rFonts w:cs="Arial"/>
                <w:szCs w:val="20"/>
              </w:rPr>
              <w:t xml:space="preserve">with final arrangements put in </w:t>
            </w:r>
            <w:r w:rsidR="006B5401" w:rsidRPr="0027128C">
              <w:rPr>
                <w:rFonts w:cs="Arial"/>
                <w:szCs w:val="20"/>
              </w:rPr>
              <w:t xml:space="preserve">place in </w:t>
            </w:r>
            <w:r w:rsidRPr="0027128C">
              <w:rPr>
                <w:rFonts w:cs="Arial"/>
                <w:szCs w:val="20"/>
              </w:rPr>
              <w:t xml:space="preserve">the </w:t>
            </w:r>
            <w:r w:rsidR="001A42E7">
              <w:rPr>
                <w:rFonts w:cs="Arial"/>
                <w:szCs w:val="20"/>
              </w:rPr>
              <w:t>2018</w:t>
            </w:r>
            <w:r w:rsidR="00DB69B8">
              <w:rPr>
                <w:rFonts w:cs="Arial"/>
                <w:szCs w:val="20"/>
              </w:rPr>
              <w:t>–</w:t>
            </w:r>
            <w:r w:rsidR="001A42E7">
              <w:rPr>
                <w:rFonts w:cs="Arial"/>
                <w:szCs w:val="20"/>
              </w:rPr>
              <w:t>19 year</w:t>
            </w:r>
            <w:r w:rsidRPr="0027128C">
              <w:rPr>
                <w:rFonts w:cs="Arial"/>
                <w:szCs w:val="20"/>
              </w:rPr>
              <w:t>. This will also include the development of transition</w:t>
            </w:r>
            <w:r w:rsidR="006B5401" w:rsidRPr="0027128C">
              <w:rPr>
                <w:rFonts w:cs="Arial"/>
                <w:szCs w:val="20"/>
              </w:rPr>
              <w:t>al</w:t>
            </w:r>
            <w:r w:rsidRPr="0027128C">
              <w:rPr>
                <w:rFonts w:cs="Arial"/>
                <w:szCs w:val="20"/>
              </w:rPr>
              <w:t xml:space="preserve"> arrangements for affected 3.</w:t>
            </w:r>
            <w:r w:rsidR="00E706F9" w:rsidRPr="0027128C">
              <w:rPr>
                <w:rFonts w:cs="Arial"/>
                <w:szCs w:val="20"/>
              </w:rPr>
              <w:t>6</w:t>
            </w:r>
            <w:r w:rsidR="00E706F9">
              <w:rPr>
                <w:rFonts w:cs="Arial"/>
                <w:szCs w:val="20"/>
              </w:rPr>
              <w:t> </w:t>
            </w:r>
            <w:r w:rsidRPr="0027128C">
              <w:rPr>
                <w:rFonts w:cs="Arial"/>
                <w:szCs w:val="20"/>
              </w:rPr>
              <w:t xml:space="preserve">GHz band point-to-multipoint licensees into the 5.6 GHz band. </w:t>
            </w:r>
          </w:p>
        </w:tc>
        <w:tc>
          <w:tcPr>
            <w:tcW w:w="829" w:type="pct"/>
            <w:tcBorders>
              <w:top w:val="single" w:sz="4" w:space="0" w:color="auto"/>
              <w:left w:val="single" w:sz="4" w:space="0" w:color="auto"/>
              <w:bottom w:val="single" w:sz="4" w:space="0" w:color="auto"/>
              <w:right w:val="single" w:sz="4" w:space="0" w:color="auto"/>
            </w:tcBorders>
          </w:tcPr>
          <w:p w14:paraId="1C1BE5F5" w14:textId="77777777" w:rsidR="00D900BB" w:rsidRDefault="008A199D">
            <w:pPr>
              <w:pStyle w:val="TableBody"/>
              <w:spacing w:line="240" w:lineRule="atLeast"/>
              <w:rPr>
                <w:rFonts w:cs="Arial"/>
                <w:szCs w:val="20"/>
              </w:rPr>
            </w:pPr>
            <w:r>
              <w:rPr>
                <w:rFonts w:cs="Arial"/>
                <w:szCs w:val="20"/>
              </w:rPr>
              <w:lastRenderedPageBreak/>
              <w:t>Conclusion of TLG process Q4 2017</w:t>
            </w:r>
            <w:r w:rsidR="00886039">
              <w:rPr>
                <w:rFonts w:cs="Arial"/>
                <w:szCs w:val="20"/>
              </w:rPr>
              <w:t>–</w:t>
            </w:r>
            <w:r>
              <w:rPr>
                <w:rFonts w:cs="Arial"/>
                <w:szCs w:val="20"/>
              </w:rPr>
              <w:t>18</w:t>
            </w:r>
          </w:p>
        </w:tc>
      </w:tr>
    </w:tbl>
    <w:p w14:paraId="57D1E354" w14:textId="77777777" w:rsidR="002C015E" w:rsidRPr="00BC673B" w:rsidRDefault="002C015E" w:rsidP="00BC673B">
      <w:pPr>
        <w:pStyle w:val="ACMASpaceaftertable"/>
      </w:pPr>
    </w:p>
    <w:p w14:paraId="2A0AE75B" w14:textId="77777777" w:rsidR="00F46EA9" w:rsidRPr="005759E7" w:rsidRDefault="00F46EA9" w:rsidP="00E706F9">
      <w:pPr>
        <w:pStyle w:val="Heading2"/>
      </w:pPr>
      <w:bookmarkStart w:id="236" w:name="_Toc510104951"/>
      <w:bookmarkStart w:id="237" w:name="_Toc510105748"/>
      <w:bookmarkStart w:id="238" w:name="_Toc510795080"/>
      <w:bookmarkStart w:id="239" w:name="_Toc511716282"/>
      <w:bookmarkStart w:id="240" w:name="_Toc511719093"/>
      <w:bookmarkStart w:id="241" w:name="_Toc522794088"/>
      <w:bookmarkStart w:id="242" w:name="_Toc524517094"/>
      <w:r w:rsidRPr="005759E7">
        <w:t>Optimising established planning frameworks</w:t>
      </w:r>
      <w:bookmarkEnd w:id="236"/>
      <w:bookmarkEnd w:id="237"/>
      <w:bookmarkEnd w:id="238"/>
      <w:bookmarkEnd w:id="239"/>
      <w:bookmarkEnd w:id="240"/>
      <w:bookmarkEnd w:id="241"/>
      <w:bookmarkEnd w:id="242"/>
    </w:p>
    <w:p w14:paraId="7F5A5FBA" w14:textId="77777777" w:rsidR="00F64B58" w:rsidRDefault="0066634A" w:rsidP="00E706F9">
      <w:r>
        <w:t>In addition to detailed replanning and re</w:t>
      </w:r>
      <w:r w:rsidR="00BB38F9">
        <w:t>-</w:t>
      </w:r>
      <w:r>
        <w:t>farming, a significant planning priority is the optimisation of e</w:t>
      </w:r>
      <w:r w:rsidR="00F64B58" w:rsidRPr="00B47C14">
        <w:t>xisting spectrum</w:t>
      </w:r>
      <w:r w:rsidR="00E706F9">
        <w:t>-</w:t>
      </w:r>
      <w:r w:rsidR="00F15BFE">
        <w:t xml:space="preserve">planning arrangements. This is typically </w:t>
      </w:r>
      <w:r>
        <w:t xml:space="preserve">achieved through updates to </w:t>
      </w:r>
      <w:r w:rsidR="00F15BFE">
        <w:t>spectrum</w:t>
      </w:r>
      <w:r w:rsidR="00E706F9">
        <w:t>-</w:t>
      </w:r>
      <w:r w:rsidR="00F15BFE">
        <w:t>planning technical framework such as band plans (either administrative or legislative</w:t>
      </w:r>
      <w:r w:rsidR="002957B9">
        <w:t>)</w:t>
      </w:r>
      <w:r w:rsidR="00F15BFE">
        <w:t xml:space="preserve"> and Radiocommunication Assignment and Licensing </w:t>
      </w:r>
      <w:r w:rsidR="00F15BFE" w:rsidRPr="00E53CF1">
        <w:t>Instructions (RALIs).</w:t>
      </w:r>
      <w:r w:rsidR="00F15BFE">
        <w:t xml:space="preserve"> </w:t>
      </w:r>
      <w:r w:rsidR="00E706F9">
        <w:t>T</w:t>
      </w:r>
      <w:r w:rsidR="00F15BFE">
        <w:t xml:space="preserve">hese changes </w:t>
      </w:r>
      <w:r w:rsidR="00E706F9">
        <w:t xml:space="preserve">are intended </w:t>
      </w:r>
      <w:r w:rsidR="00F15BFE">
        <w:t xml:space="preserve">to </w:t>
      </w:r>
      <w:r>
        <w:t>address band</w:t>
      </w:r>
      <w:r w:rsidR="00F15BFE">
        <w:t xml:space="preserve"> and service</w:t>
      </w:r>
      <w:r w:rsidR="00E706F9">
        <w:t>-</w:t>
      </w:r>
      <w:r>
        <w:t xml:space="preserve">specific </w:t>
      </w:r>
      <w:r w:rsidR="00472F67">
        <w:t>issues</w:t>
      </w:r>
      <w:r w:rsidR="00F15BFE">
        <w:t xml:space="preserve"> identified within existing frameworks</w:t>
      </w:r>
      <w:r w:rsidR="00E706F9">
        <w:t>—</w:t>
      </w:r>
      <w:r w:rsidR="00F15BFE">
        <w:t>for example</w:t>
      </w:r>
      <w:r w:rsidR="00E706F9">
        <w:t>,</w:t>
      </w:r>
      <w:r w:rsidR="00F15BFE">
        <w:t xml:space="preserve"> by </w:t>
      </w:r>
      <w:r w:rsidR="00F64B58" w:rsidRPr="00B47C14">
        <w:t xml:space="preserve">addressing </w:t>
      </w:r>
      <w:r w:rsidR="00F15BFE">
        <w:t>technology developments, enabling sharing opportunities and other changes to improve the efficient use of the spectrum</w:t>
      </w:r>
      <w:r w:rsidR="00F64B58" w:rsidRPr="00B47C14">
        <w:t>.</w:t>
      </w:r>
    </w:p>
    <w:p w14:paraId="49176253" w14:textId="77777777" w:rsidR="00472F67" w:rsidRDefault="00561CF6" w:rsidP="0027128C">
      <w:r>
        <w:t xml:space="preserve">The ACMA’s </w:t>
      </w:r>
      <w:r w:rsidR="00472F67">
        <w:t>optimisation work across a range of different spectrum uses</w:t>
      </w:r>
      <w:r>
        <w:t xml:space="preserve"> is outlined below</w:t>
      </w:r>
      <w:r w:rsidR="00472F67">
        <w:t>.</w:t>
      </w:r>
    </w:p>
    <w:p w14:paraId="2123D874" w14:textId="77777777" w:rsidR="00F81DC1" w:rsidRPr="0027128C" w:rsidRDefault="00F81DC1" w:rsidP="00F81DC1">
      <w:pPr>
        <w:pStyle w:val="Heading3"/>
        <w:keepNext w:val="0"/>
      </w:pPr>
      <w:bookmarkStart w:id="243" w:name="_Toc511716283"/>
      <w:bookmarkStart w:id="244" w:name="_Toc511719094"/>
      <w:bookmarkStart w:id="245" w:name="_Toc522794089"/>
      <w:bookmarkStart w:id="246" w:name="_Toc524517095"/>
      <w:bookmarkStart w:id="247" w:name="_Toc510104952"/>
      <w:bookmarkStart w:id="248" w:name="_Toc510105749"/>
      <w:bookmarkStart w:id="249" w:name="_Toc510795081"/>
      <w:r w:rsidRPr="0027128C">
        <w:t>Spectrum management advice and considering of out</w:t>
      </w:r>
      <w:r w:rsidR="00561CF6">
        <w:t>-</w:t>
      </w:r>
      <w:r w:rsidRPr="0027128C">
        <w:t>of</w:t>
      </w:r>
      <w:r w:rsidR="00561CF6">
        <w:t>-</w:t>
      </w:r>
      <w:r w:rsidRPr="0027128C">
        <w:t>policy requests</w:t>
      </w:r>
      <w:bookmarkEnd w:id="243"/>
      <w:bookmarkEnd w:id="244"/>
      <w:bookmarkEnd w:id="245"/>
      <w:bookmarkEnd w:id="246"/>
    </w:p>
    <w:p w14:paraId="7733ACDC" w14:textId="77777777" w:rsidR="00F81DC1" w:rsidRPr="0027128C" w:rsidRDefault="00F81DC1" w:rsidP="00F81DC1">
      <w:r>
        <w:t>In addition to the activities identified below, t</w:t>
      </w:r>
      <w:r w:rsidRPr="0027128C">
        <w:t xml:space="preserve">he ACMA has an ongoing role </w:t>
      </w:r>
      <w:r w:rsidR="00841827">
        <w:t>in</w:t>
      </w:r>
      <w:r w:rsidRPr="0027128C">
        <w:t xml:space="preserve"> providing advice on spectrum a</w:t>
      </w:r>
      <w:r>
        <w:t>rrangements, including advice on</w:t>
      </w:r>
      <w:r w:rsidRPr="0027128C">
        <w:t xml:space="preserve"> out</w:t>
      </w:r>
      <w:r w:rsidR="00561CF6">
        <w:t>-</w:t>
      </w:r>
      <w:r w:rsidRPr="0027128C">
        <w:t>of</w:t>
      </w:r>
      <w:r w:rsidR="00561CF6">
        <w:t>-</w:t>
      </w:r>
      <w:r w:rsidRPr="0027128C">
        <w:t>policy request</w:t>
      </w:r>
      <w:r>
        <w:t>s</w:t>
      </w:r>
      <w:r w:rsidRPr="0027128C">
        <w:t xml:space="preserve"> and consider</w:t>
      </w:r>
      <w:r>
        <w:t>ing</w:t>
      </w:r>
      <w:r w:rsidRPr="0027128C">
        <w:t xml:space="preserve"> applications for trial demonstration of new technologies.</w:t>
      </w:r>
      <w:r w:rsidR="00447762">
        <w:t xml:space="preserve"> </w:t>
      </w:r>
      <w:r w:rsidRPr="0027128C">
        <w:t xml:space="preserve"> </w:t>
      </w:r>
    </w:p>
    <w:p w14:paraId="147B6225" w14:textId="77777777" w:rsidR="00472F67" w:rsidRDefault="00F46EA9" w:rsidP="00530A2E">
      <w:pPr>
        <w:pStyle w:val="Heading3"/>
        <w:keepNext w:val="0"/>
      </w:pPr>
      <w:bookmarkStart w:id="250" w:name="_Toc511716284"/>
      <w:bookmarkStart w:id="251" w:name="_Toc511719095"/>
      <w:bookmarkStart w:id="252" w:name="_Toc522794090"/>
      <w:bookmarkStart w:id="253" w:name="_Toc524517096"/>
      <w:r>
        <w:t>Broadcasting</w:t>
      </w:r>
      <w:bookmarkEnd w:id="247"/>
      <w:bookmarkEnd w:id="248"/>
      <w:bookmarkEnd w:id="249"/>
      <w:bookmarkEnd w:id="250"/>
      <w:bookmarkEnd w:id="251"/>
      <w:bookmarkEnd w:id="252"/>
      <w:bookmarkEnd w:id="253"/>
    </w:p>
    <w:p w14:paraId="5C70E069" w14:textId="77777777" w:rsidR="00D50A45" w:rsidRDefault="00D50A45" w:rsidP="0027128C">
      <w:r>
        <w:t xml:space="preserve">A common theme from the FYSO submissions was the free-to-air television industry’s need for ongoing access to spectrum. Free TV Australia also suggested that the </w:t>
      </w:r>
      <w:r w:rsidR="00561CF6">
        <w:t>600 </w:t>
      </w:r>
      <w:r>
        <w:t xml:space="preserve">MHz band be redefined as </w:t>
      </w:r>
      <w:r w:rsidRPr="00C05934">
        <w:t>614–694 MHz</w:t>
      </w:r>
      <w:r>
        <w:t xml:space="preserve"> instead of 520–694 MHz.</w:t>
      </w:r>
      <w:r w:rsidR="00CC3CBB">
        <w:t xml:space="preserve"> The ACMA has subsequently revised its definition of the 600 MHz band to </w:t>
      </w:r>
      <w:r w:rsidR="00561CF6">
        <w:t xml:space="preserve">the </w:t>
      </w:r>
      <w:r w:rsidR="00CC3CBB">
        <w:t>617</w:t>
      </w:r>
      <w:r w:rsidR="00561CF6">
        <w:t>–</w:t>
      </w:r>
      <w:r w:rsidR="00CC3CBB">
        <w:t>69</w:t>
      </w:r>
      <w:r w:rsidR="007A591B">
        <w:t>8</w:t>
      </w:r>
      <w:r w:rsidR="00CC3CBB">
        <w:t xml:space="preserve"> MHz band. This </w:t>
      </w:r>
      <w:proofErr w:type="gramStart"/>
      <w:r w:rsidR="00CC3CBB">
        <w:t>takes into account</w:t>
      </w:r>
      <w:proofErr w:type="gramEnd"/>
      <w:r w:rsidR="00CC3CBB">
        <w:t xml:space="preserve"> outcomes from the US 600 MHz incentive auction. However, any </w:t>
      </w:r>
      <w:r w:rsidR="00CC3CBB" w:rsidRPr="00350C72">
        <w:t>Australian guard</w:t>
      </w:r>
      <w:r w:rsidR="00350C72" w:rsidRPr="00350C72">
        <w:t xml:space="preserve"> </w:t>
      </w:r>
      <w:r w:rsidR="00CC3CBB" w:rsidRPr="00350C72">
        <w:t>bands between the lower edge of the 600 MHz band and the upper edge of ongoing broadcasting would need to be determined as part of any review of the band</w:t>
      </w:r>
      <w:r w:rsidR="00561CF6" w:rsidRPr="00350C72">
        <w:t>,</w:t>
      </w:r>
      <w:r w:rsidR="00CC3CBB" w:rsidRPr="00350C72">
        <w:t xml:space="preserve"> </w:t>
      </w:r>
      <w:proofErr w:type="gramStart"/>
      <w:r w:rsidR="00CC3CBB" w:rsidRPr="00350C72">
        <w:t>taking into account</w:t>
      </w:r>
      <w:proofErr w:type="gramEnd"/>
      <w:r w:rsidR="00CC3CBB" w:rsidRPr="00350C72">
        <w:t xml:space="preserve"> specific </w:t>
      </w:r>
      <w:r w:rsidR="00561CF6" w:rsidRPr="00350C72">
        <w:t xml:space="preserve">Australian </w:t>
      </w:r>
      <w:r w:rsidR="00CC3CBB" w:rsidRPr="002D62C3">
        <w:t>circumstances.</w:t>
      </w:r>
      <w:r w:rsidR="00447762">
        <w:t xml:space="preserve"> </w:t>
      </w:r>
      <w:r w:rsidRPr="002D62C3">
        <w:t xml:space="preserve"> </w:t>
      </w:r>
    </w:p>
    <w:p w14:paraId="715DF41C" w14:textId="77777777" w:rsidR="000901C6" w:rsidRDefault="00491DC5" w:rsidP="000901C6">
      <w:r>
        <w:t xml:space="preserve">Since the restack of television spectrum for the 700 MHz digital dividend, </w:t>
      </w:r>
      <w:r w:rsidR="000F52C2">
        <w:t xml:space="preserve">only </w:t>
      </w:r>
      <w:r>
        <w:t xml:space="preserve">limited further optimisation work has been necessary in these bands. </w:t>
      </w:r>
      <w:r w:rsidR="000901C6">
        <w:t>In contrast, there are significant activities progressing in the radio broadcasting spectrum.</w:t>
      </w:r>
    </w:p>
    <w:p w14:paraId="3C6AB974" w14:textId="1CC47A70" w:rsidR="00BA0673" w:rsidRDefault="00D50A45" w:rsidP="0027128C">
      <w:r w:rsidRPr="002D62C3">
        <w:t>The narrowcasting industry</w:t>
      </w:r>
      <w:r w:rsidRPr="002D62C3" w:rsidDel="006B5401">
        <w:t xml:space="preserve"> </w:t>
      </w:r>
      <w:r w:rsidRPr="002D62C3">
        <w:t xml:space="preserve">expressed concerns about certainty of access to spectrum for </w:t>
      </w:r>
      <w:r w:rsidRPr="00350C72">
        <w:t>LPON</w:t>
      </w:r>
      <w:r>
        <w:t xml:space="preserve"> services. The ACMA acknowledges these concerns</w:t>
      </w:r>
      <w:r w:rsidR="00A627EC">
        <w:t xml:space="preserve">. </w:t>
      </w:r>
      <w:r w:rsidR="000345D2">
        <w:t xml:space="preserve">Following the publication of the draft FYSO, the ACMA consulted on a proposal to extend </w:t>
      </w:r>
      <w:r>
        <w:t>the determination of the LPON sub-band</w:t>
      </w:r>
      <w:r w:rsidR="000345D2">
        <w:t xml:space="preserve"> for a </w:t>
      </w:r>
      <w:r w:rsidR="004959E5" w:rsidRPr="00493B5D">
        <w:t>further</w:t>
      </w:r>
      <w:r w:rsidR="000345D2">
        <w:t xml:space="preserve"> </w:t>
      </w:r>
      <w:r w:rsidR="00BC673B">
        <w:t xml:space="preserve">five </w:t>
      </w:r>
      <w:r w:rsidR="000345D2">
        <w:t>years</w:t>
      </w:r>
      <w:r w:rsidR="00BC673B">
        <w:t>—</w:t>
      </w:r>
      <w:r w:rsidR="000345D2">
        <w:t>from 2020 to 2025. No objections were received to this proposal;</w:t>
      </w:r>
      <w:r w:rsidR="002E1E92">
        <w:t xml:space="preserve"> in early September 2018</w:t>
      </w:r>
      <w:r w:rsidR="0080400A">
        <w:t>,</w:t>
      </w:r>
      <w:r w:rsidR="000345D2">
        <w:t xml:space="preserve"> the ACMA </w:t>
      </w:r>
      <w:r w:rsidR="002E1E92">
        <w:t>extended the determination until 31 December 2025</w:t>
      </w:r>
      <w:r w:rsidR="000345D2">
        <w:t>.</w:t>
      </w:r>
    </w:p>
    <w:p w14:paraId="6559648A" w14:textId="77777777" w:rsidR="00F42E07" w:rsidRDefault="000901C6" w:rsidP="0027128C">
      <w:r>
        <w:t>The ACMA has been working closely with the radio industry on two key initiatives for regional Australia—</w:t>
      </w:r>
      <w:r w:rsidR="00DB69B8">
        <w:t>e</w:t>
      </w:r>
      <w:r>
        <w:t xml:space="preserve">xpansion of digital radio to regional areas, and the conversion to FM of the heritage </w:t>
      </w:r>
      <w:r w:rsidR="000F52C2">
        <w:t xml:space="preserve">commercial </w:t>
      </w:r>
      <w:r>
        <w:t xml:space="preserve">AM station in single licensee regional markets </w:t>
      </w:r>
    </w:p>
    <w:p w14:paraId="3172F453" w14:textId="77777777" w:rsidR="00D50A45" w:rsidRDefault="00D50A45" w:rsidP="0037046B">
      <w:pPr>
        <w:pStyle w:val="BodySubHeader"/>
      </w:pPr>
      <w:r>
        <w:lastRenderedPageBreak/>
        <w:t xml:space="preserve">Progress achieved </w:t>
      </w:r>
    </w:p>
    <w:p w14:paraId="2213E71A" w14:textId="77777777" w:rsidR="00D50A45" w:rsidRPr="007A2ADC" w:rsidRDefault="00D50A45" w:rsidP="005759E7">
      <w:pPr>
        <w:pStyle w:val="ListBullet"/>
      </w:pPr>
      <w:r>
        <w:t xml:space="preserve">In 2017, the ACMA issued long-term digital radio transmitter licences for the </w:t>
      </w:r>
      <w:r w:rsidRPr="007A2ADC">
        <w:t>national broadcasters in Canberra and Darwin. The national services commenced digital radio broadcasting, in Canberra and Darwin, independently of the trial service, in December 2017.</w:t>
      </w:r>
    </w:p>
    <w:p w14:paraId="709586D7" w14:textId="77777777" w:rsidR="00D50A45" w:rsidRPr="00FC654E" w:rsidRDefault="00D50A45" w:rsidP="005759E7">
      <w:pPr>
        <w:pStyle w:val="ListBullet"/>
      </w:pPr>
      <w:r w:rsidRPr="00FC654E">
        <w:t>In December 2017</w:t>
      </w:r>
      <w:r w:rsidR="00561CF6">
        <w:t>,</w:t>
      </w:r>
      <w:r w:rsidRPr="00FC654E">
        <w:t xml:space="preserve"> the ACMA invited applications from eligible joint venture companies for digital radio multiplex transmitter licences in Canberra and Darwin. It is likely the ACMA will issue licences by </w:t>
      </w:r>
      <w:r w:rsidR="000345D2">
        <w:t xml:space="preserve">the end of </w:t>
      </w:r>
      <w:r w:rsidRPr="00FC654E">
        <w:t xml:space="preserve">2018. This will facilitate the ‘permanent’ licensing of commercial and community digital radio services in those areas. </w:t>
      </w:r>
    </w:p>
    <w:p w14:paraId="3362E15D" w14:textId="393503AC" w:rsidR="00D50A45" w:rsidRPr="00FC654E" w:rsidRDefault="00D50A45" w:rsidP="005759E7">
      <w:pPr>
        <w:pStyle w:val="ListBullet"/>
      </w:pPr>
      <w:r w:rsidRPr="00FC654E">
        <w:t xml:space="preserve">The ACMA licensed the national broadcasters' </w:t>
      </w:r>
      <w:r w:rsidR="00B35476" w:rsidRPr="00FC654E">
        <w:t>digital radio transmitters in Canberra, Darwin and Hobart</w:t>
      </w:r>
      <w:r w:rsidR="00561CF6">
        <w:t>, with</w:t>
      </w:r>
      <w:r w:rsidR="00561CF6" w:rsidRPr="00FC654E">
        <w:t xml:space="preserve"> </w:t>
      </w:r>
      <w:r w:rsidRPr="00FC654E">
        <w:t>services commenc</w:t>
      </w:r>
      <w:r w:rsidR="00561CF6">
        <w:t>ing</w:t>
      </w:r>
      <w:r w:rsidRPr="00FC654E">
        <w:t xml:space="preserve"> </w:t>
      </w:r>
      <w:r w:rsidR="00B35476" w:rsidRPr="00FC654E">
        <w:t>in early 2018</w:t>
      </w:r>
      <w:r w:rsidRPr="00FC654E">
        <w:t xml:space="preserve">. The ACMA expects to issue the commercial broadcaster’s licence </w:t>
      </w:r>
      <w:r w:rsidR="00B35476" w:rsidRPr="00FC654E">
        <w:t xml:space="preserve">for Hobart </w:t>
      </w:r>
      <w:r w:rsidRPr="00FC654E">
        <w:t xml:space="preserve">in </w:t>
      </w:r>
      <w:r w:rsidR="00561CF6">
        <w:t>Q</w:t>
      </w:r>
      <w:r w:rsidRPr="00FC654E">
        <w:t>1 2018</w:t>
      </w:r>
      <w:r w:rsidR="00692645">
        <w:t>–19</w:t>
      </w:r>
      <w:r w:rsidR="00561CF6">
        <w:t>,</w:t>
      </w:r>
      <w:r w:rsidRPr="00FC654E">
        <w:t xml:space="preserve"> which will allow service commencement in the </w:t>
      </w:r>
      <w:r w:rsidR="004871BD">
        <w:t>first</w:t>
      </w:r>
      <w:r w:rsidR="004871BD" w:rsidRPr="00FC654E">
        <w:t xml:space="preserve"> </w:t>
      </w:r>
      <w:r w:rsidRPr="00FC654E">
        <w:t xml:space="preserve">half of </w:t>
      </w:r>
      <w:r w:rsidR="004871BD">
        <w:t xml:space="preserve">the calendar </w:t>
      </w:r>
      <w:r w:rsidRPr="00FC654E">
        <w:t>201</w:t>
      </w:r>
      <w:r w:rsidR="004871BD">
        <w:t>9 year</w:t>
      </w:r>
      <w:r w:rsidRPr="00FC654E">
        <w:t xml:space="preserve">. </w:t>
      </w:r>
    </w:p>
    <w:p w14:paraId="736C7EFB" w14:textId="77777777" w:rsidR="00D50A45" w:rsidRPr="00FC654E" w:rsidRDefault="00D50A45" w:rsidP="0037046B">
      <w:pPr>
        <w:pStyle w:val="ListBullet"/>
      </w:pPr>
      <w:r w:rsidRPr="00FC654E">
        <w:t>East coast allotment planning for the expansion of digital radio in regional Australia was completed in Q3 2017–18.</w:t>
      </w:r>
      <w:r w:rsidR="0065139B" w:rsidRPr="00FC654E">
        <w:t xml:space="preserve"> </w:t>
      </w:r>
      <w:r w:rsidRPr="00FC654E">
        <w:t>This will allow regional licensees to make an informed decision about the costs of digital radio infrastructure, and ultimately choose whether they will participate in the provision of digital radio services.</w:t>
      </w:r>
    </w:p>
    <w:p w14:paraId="245046FD" w14:textId="77777777" w:rsidR="00692645" w:rsidRDefault="00692645" w:rsidP="00692645">
      <w:pPr>
        <w:pStyle w:val="ListBullet"/>
        <w:numPr>
          <w:ilvl w:val="0"/>
          <w:numId w:val="1"/>
        </w:numPr>
      </w:pPr>
      <w:r w:rsidRPr="00FC654E">
        <w:t>In March 2018</w:t>
      </w:r>
      <w:r>
        <w:t>,</w:t>
      </w:r>
      <w:r w:rsidRPr="00FC654E">
        <w:t xml:space="preserve"> the ACMA approved </w:t>
      </w:r>
      <w:r w:rsidR="00E53CF1" w:rsidRPr="00991CD9">
        <w:t>LAP</w:t>
      </w:r>
      <w:r w:rsidRPr="00FC654E">
        <w:t xml:space="preserve"> variations permitting AM to FM conversion in Mandurah and Warrnambool.</w:t>
      </w:r>
    </w:p>
    <w:p w14:paraId="4418A20F" w14:textId="5B107481" w:rsidR="004871BD" w:rsidRDefault="004871BD" w:rsidP="004871BD">
      <w:pPr>
        <w:pStyle w:val="ListBullet"/>
        <w:numPr>
          <w:ilvl w:val="0"/>
          <w:numId w:val="1"/>
        </w:numPr>
      </w:pPr>
      <w:r>
        <w:t xml:space="preserve">Following the release of the draft FYSO, the Authority approved the AM to FM conversion for </w:t>
      </w:r>
      <w:r w:rsidR="00A16104">
        <w:t xml:space="preserve">2BS </w:t>
      </w:r>
      <w:r>
        <w:t>Bathurst in late August 2018.</w:t>
      </w:r>
    </w:p>
    <w:p w14:paraId="36C02FA7" w14:textId="7AE0A90D" w:rsidR="000901C6" w:rsidRPr="00FC654E" w:rsidRDefault="000901C6" w:rsidP="00DB69B8">
      <w:pPr>
        <w:pStyle w:val="ListBulletLast"/>
      </w:pPr>
      <w:r>
        <w:t>In May 2018</w:t>
      </w:r>
      <w:r w:rsidR="00947A8E">
        <w:t xml:space="preserve">, the ACMA consulted on </w:t>
      </w:r>
      <w:r>
        <w:t>proposals to permit</w:t>
      </w:r>
      <w:r w:rsidR="00947A8E">
        <w:t xml:space="preserve"> AM</w:t>
      </w:r>
      <w:r>
        <w:t xml:space="preserve"> to FM conversions in Burnie, Devonport, Queenstown</w:t>
      </w:r>
      <w:r w:rsidR="004871BD">
        <w:t xml:space="preserve"> and</w:t>
      </w:r>
      <w:r w:rsidR="0020445B">
        <w:t xml:space="preserve"> </w:t>
      </w:r>
      <w:r>
        <w:t>Scottsdale.</w:t>
      </w:r>
    </w:p>
    <w:p w14:paraId="05F0E80C" w14:textId="77777777" w:rsidR="00D50A45" w:rsidRPr="0045598D" w:rsidRDefault="00D50A45" w:rsidP="00344590">
      <w:pPr>
        <w:pStyle w:val="BodySubHeader"/>
      </w:pPr>
      <w:r>
        <w:t xml:space="preserve">Activities planned </w:t>
      </w:r>
      <w:r w:rsidRPr="0045598D">
        <w:t>for 2018</w:t>
      </w:r>
      <w:r w:rsidR="00561CF6" w:rsidRPr="0045598D">
        <w:t>–</w:t>
      </w:r>
      <w:r w:rsidRPr="0045598D">
        <w:t xml:space="preserve">19 </w:t>
      </w:r>
    </w:p>
    <w:p w14:paraId="0602C7B0" w14:textId="77777777" w:rsidR="00F46EA9" w:rsidRPr="00BE6916" w:rsidRDefault="00472F67" w:rsidP="00344590">
      <w:pPr>
        <w:pStyle w:val="BodySubHeader"/>
      </w:pPr>
      <w:r w:rsidRPr="00BE6916">
        <w:t>D</w:t>
      </w:r>
      <w:r w:rsidR="00F46EA9" w:rsidRPr="00BE6916">
        <w:t>igital radio</w:t>
      </w:r>
      <w:r w:rsidR="00692645" w:rsidRPr="00BE6916">
        <w:t xml:space="preserve"> and</w:t>
      </w:r>
      <w:r w:rsidR="00F46EA9" w:rsidRPr="00BE6916">
        <w:t xml:space="preserve"> AM to FM conversion</w:t>
      </w:r>
    </w:p>
    <w:p w14:paraId="33B36EAC" w14:textId="77777777" w:rsidR="003D7FAC" w:rsidRDefault="003D7FAC" w:rsidP="0027128C">
      <w:r w:rsidRPr="00B725D2">
        <w:t>Over the next few years</w:t>
      </w:r>
      <w:r>
        <w:t>,</w:t>
      </w:r>
      <w:r w:rsidRPr="00B725D2">
        <w:t xml:space="preserve"> it is likely the main priorities in </w:t>
      </w:r>
      <w:r>
        <w:t>radio</w:t>
      </w:r>
      <w:r w:rsidRPr="00B725D2">
        <w:t xml:space="preserve"> broadcast</w:t>
      </w:r>
      <w:r>
        <w:t>ing</w:t>
      </w:r>
      <w:r w:rsidRPr="00B725D2">
        <w:t xml:space="preserve"> will continue to </w:t>
      </w:r>
      <w:r>
        <w:t>include</w:t>
      </w:r>
      <w:r w:rsidRPr="00B725D2">
        <w:t xml:space="preserve"> planning for digital radio rollout</w:t>
      </w:r>
      <w:r>
        <w:t xml:space="preserve"> and</w:t>
      </w:r>
      <w:r w:rsidRPr="00B725D2">
        <w:t xml:space="preserve"> further conside</w:t>
      </w:r>
      <w:r>
        <w:t xml:space="preserve">ration of AM to FM conversion. </w:t>
      </w:r>
    </w:p>
    <w:p w14:paraId="05A99E1F" w14:textId="77777777" w:rsidR="003D7FAC" w:rsidRDefault="003D7FAC" w:rsidP="0027128C">
      <w:r>
        <w:t>While the ACMA can facilitate the rollout of digital radio services in regional Australia, the establishment and format of digital radio services in any given market is a commercial decision of the relevant incumbent commercial radio broadcasting licensees.</w:t>
      </w:r>
      <w:r w:rsidRPr="00BF3536">
        <w:t xml:space="preserve"> </w:t>
      </w:r>
      <w:r>
        <w:t>Similarly, where and when the ABC and SBS will roll</w:t>
      </w:r>
      <w:r w:rsidR="006B5401">
        <w:t xml:space="preserve"> </w:t>
      </w:r>
      <w:r>
        <w:t>out digital radio services is a decision for those broadcasters. Each digital radio channel plan will reserve a frequency to enable the national broadcasters to provide digital radio services.</w:t>
      </w:r>
    </w:p>
    <w:p w14:paraId="5723B260" w14:textId="77777777" w:rsidR="006C2F18" w:rsidRDefault="006C2F18" w:rsidP="005759E7">
      <w:pPr>
        <w:spacing w:after="80"/>
      </w:pPr>
      <w:r>
        <w:t>The ACMA will continue to prioritise the planning of digital radio and work with industry to expand digital radio services into regional Australia.</w:t>
      </w:r>
      <w:r w:rsidR="00D50A45">
        <w:t xml:space="preserve"> </w:t>
      </w:r>
      <w:r>
        <w:t>In 2018–19</w:t>
      </w:r>
      <w:r w:rsidR="00561CF6">
        <w:t>,</w:t>
      </w:r>
      <w:r>
        <w:t xml:space="preserve"> we will:</w:t>
      </w:r>
    </w:p>
    <w:p w14:paraId="0F7EDFAD" w14:textId="77777777" w:rsidR="006C2F18" w:rsidRPr="00561CF6" w:rsidRDefault="006D64BD" w:rsidP="005759E7">
      <w:pPr>
        <w:pStyle w:val="ListBullet"/>
      </w:pPr>
      <w:r>
        <w:t>c</w:t>
      </w:r>
      <w:r w:rsidR="006C2F18">
        <w:t xml:space="preserve">onsult on and finalise the digital radio channel plans for </w:t>
      </w:r>
      <w:r w:rsidR="005E257E">
        <w:t xml:space="preserve">the </w:t>
      </w:r>
      <w:r w:rsidR="006C2F18">
        <w:t xml:space="preserve">licence areas </w:t>
      </w:r>
      <w:r w:rsidR="001543E4">
        <w:t xml:space="preserve">where a commercial licensee </w:t>
      </w:r>
      <w:r w:rsidR="001543E4" w:rsidRPr="00493B5D">
        <w:t>ha</w:t>
      </w:r>
      <w:r w:rsidR="008862A9" w:rsidRPr="00493B5D">
        <w:t>s</w:t>
      </w:r>
      <w:r w:rsidR="001543E4" w:rsidRPr="00493B5D">
        <w:t xml:space="preserve"> </w:t>
      </w:r>
      <w:r w:rsidR="004959E5" w:rsidRPr="00493B5D">
        <w:t>committed</w:t>
      </w:r>
      <w:r w:rsidR="001543E4">
        <w:t xml:space="preserve"> to the </w:t>
      </w:r>
      <w:r w:rsidR="006C2F18">
        <w:t>next phase of rollout.</w:t>
      </w:r>
      <w:r w:rsidR="00192392">
        <w:t xml:space="preserve"> </w:t>
      </w:r>
      <w:r w:rsidR="0069613F">
        <w:t xml:space="preserve">If the ACMA finalises a plan but no </w:t>
      </w:r>
      <w:r w:rsidR="0069613F" w:rsidRPr="00561CF6">
        <w:t xml:space="preserve">application for a </w:t>
      </w:r>
      <w:r w:rsidR="00192392" w:rsidRPr="00561CF6">
        <w:t xml:space="preserve">multiplex </w:t>
      </w:r>
      <w:r w:rsidR="0069613F" w:rsidRPr="00561CF6">
        <w:t>licence is forthcoming,</w:t>
      </w:r>
      <w:r w:rsidR="00192392" w:rsidRPr="005759E7">
        <w:t xml:space="preserve"> it will be open to the ACMA to make available such a licence to other parties through a price</w:t>
      </w:r>
      <w:r w:rsidR="00BC673B">
        <w:t>-</w:t>
      </w:r>
      <w:r w:rsidR="00192392" w:rsidRPr="005759E7">
        <w:t>based allocation process</w:t>
      </w:r>
    </w:p>
    <w:p w14:paraId="11579850" w14:textId="77777777" w:rsidR="006C2F18" w:rsidRDefault="006D64BD" w:rsidP="005759E7">
      <w:pPr>
        <w:pStyle w:val="ListBullet"/>
      </w:pPr>
      <w:r>
        <w:t>c</w:t>
      </w:r>
      <w:r w:rsidR="006C2F18">
        <w:t>hair meetings of the Digital Radio Planning C</w:t>
      </w:r>
      <w:r w:rsidR="00A43459">
        <w:t>ommittee for Regional Australia</w:t>
      </w:r>
    </w:p>
    <w:p w14:paraId="687AEBD5" w14:textId="64A98622" w:rsidR="00B35476" w:rsidRDefault="002C689F" w:rsidP="005759E7">
      <w:pPr>
        <w:pStyle w:val="ListBullet"/>
      </w:pPr>
      <w:r>
        <w:t xml:space="preserve">finalise </w:t>
      </w:r>
      <w:r w:rsidR="006D64BD">
        <w:t>i</w:t>
      </w:r>
      <w:r w:rsidR="00B35476">
        <w:t xml:space="preserve">n Q1 </w:t>
      </w:r>
      <w:r w:rsidR="001543E4">
        <w:t xml:space="preserve">and Q2 </w:t>
      </w:r>
      <w:r w:rsidR="00B35476">
        <w:t>2018</w:t>
      </w:r>
      <w:r w:rsidR="00561CF6">
        <w:t>–</w:t>
      </w:r>
      <w:r w:rsidR="00B35476">
        <w:t xml:space="preserve">19 </w:t>
      </w:r>
      <w:r w:rsidR="004044E4">
        <w:t xml:space="preserve">the outcome </w:t>
      </w:r>
      <w:r w:rsidR="007A78A6">
        <w:t>of proposals</w:t>
      </w:r>
      <w:r w:rsidR="00B35476">
        <w:t xml:space="preserve"> permitting AM to FM conversion in Tasmanian licence areas</w:t>
      </w:r>
      <w:r w:rsidR="00561CF6">
        <w:t>—</w:t>
      </w:r>
      <w:r w:rsidR="00B35476">
        <w:t xml:space="preserve">Burnie, Devonport, Queenstown </w:t>
      </w:r>
      <w:r w:rsidR="00AD277F">
        <w:t xml:space="preserve">as well as </w:t>
      </w:r>
      <w:r w:rsidR="00B35476">
        <w:t>Scottsdale</w:t>
      </w:r>
      <w:r w:rsidR="00692645">
        <w:t xml:space="preserve"> </w:t>
      </w:r>
      <w:r w:rsidR="00A43459">
        <w:t>in NSW</w:t>
      </w:r>
    </w:p>
    <w:p w14:paraId="4EB6421D" w14:textId="5B6883AB" w:rsidR="006C2F18" w:rsidRDefault="006D64BD" w:rsidP="005759E7">
      <w:pPr>
        <w:pStyle w:val="ListBulletLast"/>
      </w:pPr>
      <w:r>
        <w:t>c</w:t>
      </w:r>
      <w:r w:rsidR="005B347B">
        <w:t>onsider</w:t>
      </w:r>
      <w:r w:rsidR="006C2F18">
        <w:t xml:space="preserve"> proposals </w:t>
      </w:r>
      <w:r w:rsidR="006C2F18" w:rsidRPr="00350C72">
        <w:t xml:space="preserve">for </w:t>
      </w:r>
      <w:r w:rsidR="006C2F18" w:rsidRPr="00E53CF1">
        <w:t>AM</w:t>
      </w:r>
      <w:r w:rsidR="00561CF6" w:rsidRPr="00E53CF1">
        <w:t>–</w:t>
      </w:r>
      <w:r w:rsidR="006C2F18" w:rsidRPr="00E53CF1">
        <w:t>FM conversions</w:t>
      </w:r>
      <w:r w:rsidR="006C2F18">
        <w:t xml:space="preserve"> </w:t>
      </w:r>
      <w:r w:rsidR="00B35476">
        <w:t>for</w:t>
      </w:r>
      <w:r w:rsidR="006C2F18">
        <w:t xml:space="preserve"> </w:t>
      </w:r>
      <w:r w:rsidR="00D50A45">
        <w:t>Lithgow</w:t>
      </w:r>
      <w:r w:rsidR="0065139B">
        <w:t>,</w:t>
      </w:r>
      <w:r w:rsidR="00D50A45">
        <w:t xml:space="preserve"> </w:t>
      </w:r>
      <w:r w:rsidR="006C2F18">
        <w:t>Bega</w:t>
      </w:r>
      <w:r w:rsidR="00D50A45">
        <w:t xml:space="preserve">, </w:t>
      </w:r>
      <w:r w:rsidR="006C2F18">
        <w:t>Cooma</w:t>
      </w:r>
      <w:r w:rsidR="00D50A45">
        <w:t xml:space="preserve">, </w:t>
      </w:r>
      <w:r w:rsidR="006C2F18">
        <w:t>Goulburn</w:t>
      </w:r>
      <w:r w:rsidR="00D50A45">
        <w:t xml:space="preserve"> and N</w:t>
      </w:r>
      <w:r w:rsidR="006C2F18">
        <w:t>owra in Q</w:t>
      </w:r>
      <w:r w:rsidR="000D7F96">
        <w:t>2</w:t>
      </w:r>
      <w:r w:rsidR="006C2F18">
        <w:t xml:space="preserve"> 2018</w:t>
      </w:r>
      <w:r w:rsidR="00561CF6">
        <w:t>–</w:t>
      </w:r>
      <w:r w:rsidR="006C2F18">
        <w:t>19</w:t>
      </w:r>
    </w:p>
    <w:p w14:paraId="4113366A" w14:textId="53900AF7" w:rsidR="00FD3A80" w:rsidRDefault="00D143F0" w:rsidP="001B1B7A">
      <w:pPr>
        <w:pStyle w:val="ListBullet"/>
      </w:pPr>
      <w:r>
        <w:lastRenderedPageBreak/>
        <w:t>f</w:t>
      </w:r>
      <w:r w:rsidR="00FD3A80">
        <w:t xml:space="preserve">ollowing the </w:t>
      </w:r>
      <w:r w:rsidR="00FD3A80" w:rsidRPr="00493B5D">
        <w:t>completion</w:t>
      </w:r>
      <w:r w:rsidR="007E6806" w:rsidRPr="00493B5D">
        <w:t xml:space="preserve"> </w:t>
      </w:r>
      <w:r w:rsidR="00FD3A80" w:rsidRPr="00493B5D">
        <w:t xml:space="preserve">of </w:t>
      </w:r>
      <w:r w:rsidR="00FD3A80">
        <w:t xml:space="preserve">east coast digital radio </w:t>
      </w:r>
      <w:r w:rsidR="007E6806" w:rsidRPr="00493B5D">
        <w:t>channel</w:t>
      </w:r>
      <w:r w:rsidR="00FD3A80">
        <w:t xml:space="preserve"> allotment planning, consult on a proposal to increase the </w:t>
      </w:r>
      <w:r w:rsidR="007E6806" w:rsidRPr="00493B5D">
        <w:t>effective</w:t>
      </w:r>
      <w:r w:rsidR="00FD3A80">
        <w:t xml:space="preserve"> radiated transmission power of </w:t>
      </w:r>
      <w:r w:rsidR="007E6806" w:rsidRPr="00493B5D">
        <w:t>Canberra</w:t>
      </w:r>
      <w:r w:rsidR="00FD3A80">
        <w:t xml:space="preserve"> digital radio </w:t>
      </w:r>
      <w:r w:rsidR="007E6806" w:rsidRPr="00493B5D">
        <w:t>from</w:t>
      </w:r>
      <w:r w:rsidR="00FD3A80">
        <w:t xml:space="preserve"> the previous cap of 5 kW to 20 kW </w:t>
      </w:r>
    </w:p>
    <w:p w14:paraId="191B5F38" w14:textId="3469D6F7" w:rsidR="005E257E" w:rsidRDefault="00D143F0" w:rsidP="00FB1D8C">
      <w:pPr>
        <w:pStyle w:val="ListBullet"/>
      </w:pPr>
      <w:r>
        <w:t>f</w:t>
      </w:r>
      <w:r w:rsidR="002B3F96">
        <w:t>urther c</w:t>
      </w:r>
      <w:r w:rsidR="00FB1D8C">
        <w:t>onsider</w:t>
      </w:r>
      <w:r w:rsidR="002B3F96">
        <w:t xml:space="preserve"> whether</w:t>
      </w:r>
      <w:r w:rsidR="00FB1D8C">
        <w:t xml:space="preserve"> </w:t>
      </w:r>
      <w:r w:rsidR="00FB1D8C" w:rsidRPr="00493B5D">
        <w:t>v</w:t>
      </w:r>
      <w:r w:rsidR="005E257E" w:rsidRPr="00493B5D">
        <w:t>ar</w:t>
      </w:r>
      <w:r w:rsidR="007E6806" w:rsidRPr="00493B5D">
        <w:t>i</w:t>
      </w:r>
      <w:r w:rsidR="00FB1D8C" w:rsidRPr="00493B5D">
        <w:t>ation</w:t>
      </w:r>
      <w:r w:rsidR="002B3F96">
        <w:t>s to</w:t>
      </w:r>
      <w:r w:rsidR="005E257E" w:rsidRPr="00493B5D">
        <w:t xml:space="preserve"> </w:t>
      </w:r>
      <w:r w:rsidR="005E257E">
        <w:t xml:space="preserve">the Brisbane digital radio channel plan </w:t>
      </w:r>
      <w:r w:rsidR="002B3F96">
        <w:t>are appropriate to improve</w:t>
      </w:r>
      <w:r w:rsidR="00FB1D8C">
        <w:t xml:space="preserve"> </w:t>
      </w:r>
      <w:r w:rsidR="004959E5" w:rsidRPr="00493B5D">
        <w:t>digital</w:t>
      </w:r>
      <w:r w:rsidR="00FB1D8C">
        <w:t xml:space="preserve"> </w:t>
      </w:r>
      <w:r w:rsidR="002B3F96">
        <w:t>coverage</w:t>
      </w:r>
      <w:r w:rsidR="00FB1D8C">
        <w:t>.</w:t>
      </w:r>
    </w:p>
    <w:p w14:paraId="4A20B199" w14:textId="77777777" w:rsidR="00FB1D8C" w:rsidRDefault="00C06D75" w:rsidP="00FB1D8C">
      <w:pPr>
        <w:pStyle w:val="BodySubHeader"/>
      </w:pPr>
      <w:r w:rsidRPr="00874FEB">
        <w:rPr>
          <w:rFonts w:cs="Arial"/>
          <w:noProof/>
        </w:rPr>
        <w:drawing>
          <wp:inline distT="0" distB="0" distL="0" distR="0" wp14:anchorId="2F499802" wp14:editId="3559604A">
            <wp:extent cx="207010" cy="152400"/>
            <wp:effectExtent l="0" t="0" r="2540" b="0"/>
            <wp:docPr id="14" name="Picture 14" descr="New content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t xml:space="preserve"> Perth </w:t>
      </w:r>
      <w:r w:rsidR="00FB1D8C">
        <w:t xml:space="preserve">analog </w:t>
      </w:r>
      <w:r w:rsidR="007E6806" w:rsidRPr="00493B5D">
        <w:t xml:space="preserve">radio broadcast </w:t>
      </w:r>
      <w:r w:rsidR="00FB1D8C">
        <w:t>planning initiative</w:t>
      </w:r>
    </w:p>
    <w:p w14:paraId="634A14A5" w14:textId="77777777" w:rsidR="00FB1D8C" w:rsidRDefault="00FB1D8C" w:rsidP="00874FEB">
      <w:r>
        <w:t xml:space="preserve">Since the publication of the draft FYSO, work has advanced on a study into </w:t>
      </w:r>
      <w:r w:rsidR="000609CE">
        <w:t>the potential for re-planning Perth radio. The clearance of Band II television in Bunbury</w:t>
      </w:r>
      <w:r w:rsidR="00BC673B">
        <w:t>,</w:t>
      </w:r>
      <w:r w:rsidR="000609CE">
        <w:t xml:space="preserve"> following digital switch-over</w:t>
      </w:r>
      <w:r w:rsidR="00BC673B">
        <w:t>,</w:t>
      </w:r>
      <w:r w:rsidR="000609CE">
        <w:t xml:space="preserve"> has provided new planning </w:t>
      </w:r>
      <w:r w:rsidR="000609CE" w:rsidRPr="00493B5D">
        <w:t>op</w:t>
      </w:r>
      <w:r w:rsidR="007E6806" w:rsidRPr="00493B5D">
        <w:t>t</w:t>
      </w:r>
      <w:r w:rsidR="000609CE" w:rsidRPr="00493B5D">
        <w:t>ions.</w:t>
      </w:r>
      <w:r w:rsidR="004959E5">
        <w:t xml:space="preserve"> </w:t>
      </w:r>
      <w:r w:rsidR="000609CE">
        <w:t xml:space="preserve">The </w:t>
      </w:r>
      <w:r w:rsidR="007E6806" w:rsidRPr="00493B5D">
        <w:t>ACMA</w:t>
      </w:r>
      <w:r w:rsidR="000609CE">
        <w:t xml:space="preserve"> </w:t>
      </w:r>
      <w:r w:rsidR="000C7185">
        <w:t>expects</w:t>
      </w:r>
      <w:r w:rsidR="000609CE">
        <w:t xml:space="preserve"> to </w:t>
      </w:r>
      <w:r w:rsidR="000609CE" w:rsidRPr="00493B5D">
        <w:t>consu</w:t>
      </w:r>
      <w:r w:rsidR="007E6806" w:rsidRPr="00493B5D">
        <w:t>lt</w:t>
      </w:r>
      <w:r w:rsidR="000609CE" w:rsidRPr="00493B5D">
        <w:t xml:space="preserve"> on </w:t>
      </w:r>
      <w:r w:rsidR="007E6806" w:rsidRPr="00493B5D">
        <w:t>the potential to re-plan</w:t>
      </w:r>
      <w:r w:rsidR="000609CE">
        <w:t xml:space="preserve"> </w:t>
      </w:r>
      <w:r w:rsidR="007E6806" w:rsidRPr="00493B5D">
        <w:t>the</w:t>
      </w:r>
      <w:r w:rsidR="000609CE">
        <w:t xml:space="preserve"> Perth </w:t>
      </w:r>
      <w:r w:rsidR="007E6806" w:rsidRPr="00493B5D">
        <w:t xml:space="preserve">FM broadcast band </w:t>
      </w:r>
      <w:r w:rsidR="000609CE">
        <w:t>in Q2 2018</w:t>
      </w:r>
      <w:r w:rsidR="00BC673B">
        <w:t>–</w:t>
      </w:r>
      <w:r w:rsidR="000609CE">
        <w:t>19.</w:t>
      </w:r>
    </w:p>
    <w:p w14:paraId="2C06E485" w14:textId="77777777" w:rsidR="003D7FAC" w:rsidRPr="00964F02" w:rsidRDefault="003D7FAC" w:rsidP="00344590">
      <w:pPr>
        <w:pStyle w:val="Heading3"/>
      </w:pPr>
      <w:bookmarkStart w:id="254" w:name="_Toc510104953"/>
      <w:bookmarkStart w:id="255" w:name="_Toc510105750"/>
      <w:bookmarkStart w:id="256" w:name="_Toc510795082"/>
      <w:bookmarkStart w:id="257" w:name="_Toc511716285"/>
      <w:bookmarkStart w:id="258" w:name="_Toc511719096"/>
      <w:bookmarkStart w:id="259" w:name="_Toc522794091"/>
      <w:bookmarkStart w:id="260" w:name="_Toc524517097"/>
      <w:r w:rsidRPr="00964F02">
        <w:t xml:space="preserve">Satellite </w:t>
      </w:r>
      <w:r w:rsidR="00161584" w:rsidRPr="005759E7">
        <w:t>planning</w:t>
      </w:r>
      <w:bookmarkEnd w:id="254"/>
      <w:bookmarkEnd w:id="255"/>
      <w:bookmarkEnd w:id="256"/>
      <w:bookmarkEnd w:id="257"/>
      <w:bookmarkEnd w:id="258"/>
      <w:bookmarkEnd w:id="259"/>
      <w:bookmarkEnd w:id="260"/>
      <w:r w:rsidR="00161584" w:rsidRPr="00964F02">
        <w:t xml:space="preserve"> </w:t>
      </w:r>
    </w:p>
    <w:p w14:paraId="1F798F58" w14:textId="77777777" w:rsidR="003D7FAC" w:rsidRDefault="003D7FAC" w:rsidP="0027128C">
      <w:pPr>
        <w:spacing w:after="80"/>
      </w:pPr>
      <w:r w:rsidRPr="002B5174">
        <w:t>T</w:t>
      </w:r>
      <w:r>
        <w:t>h</w:t>
      </w:r>
      <w:r w:rsidRPr="002B5174">
        <w:t xml:space="preserve">e ACMA </w:t>
      </w:r>
      <w:r>
        <w:t>continues to engage</w:t>
      </w:r>
      <w:r w:rsidRPr="002B5174">
        <w:t xml:space="preserve"> internationally </w:t>
      </w:r>
      <w:r>
        <w:t>on</w:t>
      </w:r>
      <w:r w:rsidRPr="002B5174">
        <w:t xml:space="preserve"> </w:t>
      </w:r>
      <w:r>
        <w:t xml:space="preserve">the </w:t>
      </w:r>
      <w:r w:rsidRPr="002B5174">
        <w:t xml:space="preserve">coordination, development and implementation of measures to enhance spectrum </w:t>
      </w:r>
      <w:r>
        <w:t>usage for satellite communications and space research services</w:t>
      </w:r>
      <w:r w:rsidRPr="002B5174">
        <w:t>.</w:t>
      </w:r>
      <w:r>
        <w:t xml:space="preserve"> Domestically</w:t>
      </w:r>
      <w:r w:rsidRPr="00125FC9">
        <w:t>, our key</w:t>
      </w:r>
      <w:r>
        <w:t xml:space="preserve"> spectrum planning priorities over the next </w:t>
      </w:r>
      <w:r w:rsidR="00F15BFE">
        <w:t>year</w:t>
      </w:r>
      <w:r w:rsidDel="001A3A21">
        <w:t xml:space="preserve"> </w:t>
      </w:r>
      <w:r>
        <w:t>are to:</w:t>
      </w:r>
    </w:p>
    <w:p w14:paraId="157CF252" w14:textId="77777777" w:rsidR="00F15BFE" w:rsidRDefault="00561CF6" w:rsidP="005759E7">
      <w:pPr>
        <w:pStyle w:val="ListBullet"/>
      </w:pPr>
      <w:r>
        <w:t xml:space="preserve">provide </w:t>
      </w:r>
      <w:r w:rsidR="00F15BFE" w:rsidRPr="00561CF6">
        <w:t>ongoing</w:t>
      </w:r>
      <w:r w:rsidR="00F15BFE">
        <w:t xml:space="preserve"> operational support for </w:t>
      </w:r>
      <w:r w:rsidR="00F15BFE" w:rsidRPr="00350C72">
        <w:t>Australian</w:t>
      </w:r>
      <w:r w:rsidR="00350C72">
        <w:t>-</w:t>
      </w:r>
      <w:r w:rsidR="00F15BFE" w:rsidRPr="00350C72">
        <w:t>filed satellite</w:t>
      </w:r>
      <w:r w:rsidR="00F15BFE">
        <w:t xml:space="preserve"> networks</w:t>
      </w:r>
    </w:p>
    <w:p w14:paraId="7568F4F9" w14:textId="77777777" w:rsidR="003D7FAC" w:rsidRDefault="003D7FAC" w:rsidP="005759E7">
      <w:pPr>
        <w:pStyle w:val="ListBullet"/>
      </w:pPr>
      <w:r>
        <w:t>support</w:t>
      </w:r>
      <w:r w:rsidRPr="002B5174">
        <w:t xml:space="preserve"> the deployment of novel satellite systems (particularly small satellites)</w:t>
      </w:r>
    </w:p>
    <w:p w14:paraId="568AF5B5" w14:textId="77777777" w:rsidR="003D7FAC" w:rsidRPr="00343FBC" w:rsidRDefault="00FD7639" w:rsidP="001971EA">
      <w:pPr>
        <w:pStyle w:val="ListBullet"/>
      </w:pPr>
      <w:r>
        <w:t>u</w:t>
      </w:r>
      <w:r w:rsidR="00343FBC" w:rsidRPr="00530A2E">
        <w:t>nder</w:t>
      </w:r>
      <w:r>
        <w:t>take</w:t>
      </w:r>
      <w:r w:rsidR="00343FBC" w:rsidRPr="00530A2E">
        <w:t xml:space="preserve"> a general </w:t>
      </w:r>
      <w:r w:rsidR="00343FBC">
        <w:t xml:space="preserve">review of licensing procedures for </w:t>
      </w:r>
      <w:r w:rsidR="00343FBC" w:rsidRPr="00350C72">
        <w:t>space</w:t>
      </w:r>
      <w:r w:rsidR="00561CF6" w:rsidRPr="00350C72">
        <w:t>-</w:t>
      </w:r>
      <w:r w:rsidR="00343FBC" w:rsidRPr="00350C72">
        <w:t>based</w:t>
      </w:r>
      <w:r w:rsidR="00343FBC">
        <w:t xml:space="preserve"> communications systems to consider whether </w:t>
      </w:r>
      <w:r w:rsidR="00F85642">
        <w:t>existing</w:t>
      </w:r>
      <w:r w:rsidR="00343FBC">
        <w:t xml:space="preserve"> </w:t>
      </w:r>
      <w:r w:rsidR="00F85642">
        <w:t xml:space="preserve">procedures </w:t>
      </w:r>
      <w:r w:rsidR="00343FBC">
        <w:t xml:space="preserve">are </w:t>
      </w:r>
      <w:r w:rsidR="001971EA" w:rsidRPr="001971EA">
        <w:t>commensurate</w:t>
      </w:r>
      <w:r w:rsidR="001971EA" w:rsidRPr="001971EA" w:rsidDel="001971EA">
        <w:t xml:space="preserve"> </w:t>
      </w:r>
      <w:r w:rsidR="00343FBC">
        <w:t xml:space="preserve">with the risk of </w:t>
      </w:r>
      <w:r w:rsidR="00F85642" w:rsidRPr="00561CF6">
        <w:t>interference</w:t>
      </w:r>
      <w:r w:rsidR="00343FBC">
        <w:t xml:space="preserve">, </w:t>
      </w:r>
      <w:r w:rsidR="00F85642">
        <w:t>including</w:t>
      </w:r>
      <w:r w:rsidR="00343FBC">
        <w:t xml:space="preserve"> consideration of status of </w:t>
      </w:r>
      <w:r w:rsidR="00F85642">
        <w:t xml:space="preserve">the satellite network in </w:t>
      </w:r>
      <w:r w:rsidR="00F85642" w:rsidRPr="00746186">
        <w:rPr>
          <w:rFonts w:cs="Arial"/>
          <w:szCs w:val="20"/>
        </w:rPr>
        <w:t>ITU satellite coordination process</w:t>
      </w:r>
    </w:p>
    <w:p w14:paraId="2C010755" w14:textId="77777777" w:rsidR="003D7FAC" w:rsidRDefault="003D7FAC" w:rsidP="005759E7">
      <w:pPr>
        <w:pStyle w:val="ListBullet"/>
      </w:pPr>
      <w:r>
        <w:t>consider and action</w:t>
      </w:r>
      <w:r w:rsidR="00561CF6">
        <w:t>,</w:t>
      </w:r>
      <w:r>
        <w:t xml:space="preserve"> if appropriate</w:t>
      </w:r>
      <w:r w:rsidR="00561CF6">
        <w:t>,</w:t>
      </w:r>
      <w:r>
        <w:t xml:space="preserve"> identification of possible additional bands for ubiquitous </w:t>
      </w:r>
      <w:r w:rsidRPr="00561CF6">
        <w:t>satellite</w:t>
      </w:r>
      <w:r>
        <w:t xml:space="preserve"> use</w:t>
      </w:r>
    </w:p>
    <w:p w14:paraId="3E8314E8" w14:textId="77777777" w:rsidR="003D7FAC" w:rsidRDefault="00343FBC" w:rsidP="005759E7">
      <w:pPr>
        <w:pStyle w:val="ListBulletLast"/>
      </w:pPr>
      <w:r w:rsidRPr="00561CF6">
        <w:t>review</w:t>
      </w:r>
      <w:r>
        <w:t xml:space="preserve"> of </w:t>
      </w:r>
      <w:r w:rsidR="003D7FAC">
        <w:t xml:space="preserve">arrangements </w:t>
      </w:r>
      <w:r>
        <w:t xml:space="preserve">for ubiquitous </w:t>
      </w:r>
      <w:r w:rsidR="003D7FAC">
        <w:t>e</w:t>
      </w:r>
      <w:r w:rsidR="003D7FAC" w:rsidRPr="002B5174">
        <w:t xml:space="preserve">arth stations </w:t>
      </w:r>
      <w:r w:rsidR="003D7FAC">
        <w:t xml:space="preserve">in motion in the </w:t>
      </w:r>
      <w:r w:rsidR="00807B75">
        <w:t>FSS</w:t>
      </w:r>
      <w:r w:rsidR="00922434">
        <w:t xml:space="preserve"> </w:t>
      </w:r>
      <w:r w:rsidR="00F15BFE">
        <w:t xml:space="preserve">in </w:t>
      </w:r>
      <w:r>
        <w:t xml:space="preserve">those parts of </w:t>
      </w:r>
      <w:r w:rsidR="00BC673B">
        <w:t xml:space="preserve">the </w:t>
      </w:r>
      <w:r w:rsidR="00F15BFE">
        <w:t>Ku</w:t>
      </w:r>
      <w:r w:rsidR="00BC673B">
        <w:t>-</w:t>
      </w:r>
      <w:r w:rsidR="00F15BFE">
        <w:t>band</w:t>
      </w:r>
      <w:r>
        <w:t xml:space="preserve"> included in the </w:t>
      </w:r>
      <w:r w:rsidRPr="00C43A99">
        <w:t>Communication with Space Object Class Licence</w:t>
      </w:r>
      <w:r w:rsidR="003D7FAC">
        <w:t>.</w:t>
      </w:r>
    </w:p>
    <w:p w14:paraId="45C5D7A1" w14:textId="77777777" w:rsidR="007F3368" w:rsidRDefault="007F3368" w:rsidP="005759E7">
      <w:pPr>
        <w:pStyle w:val="BodySubHeader"/>
      </w:pPr>
      <w:r>
        <w:t xml:space="preserve">Progress achieved </w:t>
      </w:r>
    </w:p>
    <w:p w14:paraId="51EE230A" w14:textId="77777777" w:rsidR="007F3368" w:rsidRDefault="007F3368" w:rsidP="005759E7">
      <w:pPr>
        <w:spacing w:after="80"/>
      </w:pPr>
      <w:r>
        <w:t>In 2017, the ACMA finalised consultation on a number of issues to support developments in satellite communications, completing the following projects:</w:t>
      </w:r>
    </w:p>
    <w:p w14:paraId="37C31186" w14:textId="77777777" w:rsidR="007F3368" w:rsidRDefault="006D64BD" w:rsidP="005759E7">
      <w:pPr>
        <w:pStyle w:val="ListBullet"/>
      </w:pPr>
      <w:r>
        <w:t>u</w:t>
      </w:r>
      <w:r w:rsidR="007F3368">
        <w:t>pdate to Foreign Space Objects Determination (</w:t>
      </w:r>
      <w:r w:rsidR="00330303">
        <w:t>c</w:t>
      </w:r>
      <w:r w:rsidR="007F3368">
        <w:t>ompleted October 2017)</w:t>
      </w:r>
    </w:p>
    <w:p w14:paraId="518401D1" w14:textId="77777777" w:rsidR="007F3368" w:rsidRDefault="006D64BD" w:rsidP="005759E7">
      <w:pPr>
        <w:pStyle w:val="ListBullet"/>
      </w:pPr>
      <w:r>
        <w:t>in</w:t>
      </w:r>
      <w:r w:rsidR="00343FBC">
        <w:t xml:space="preserve">terim </w:t>
      </w:r>
      <w:r w:rsidR="005D5C36">
        <w:t>r</w:t>
      </w:r>
      <w:r w:rsidR="007F3368">
        <w:t xml:space="preserve">egulatory arrangements </w:t>
      </w:r>
      <w:r w:rsidR="005D5C36">
        <w:t>(in Busi</w:t>
      </w:r>
      <w:r w:rsidR="005D5C36" w:rsidRPr="00E53CF1">
        <w:t xml:space="preserve">ness Operating Procedures (BOP) </w:t>
      </w:r>
      <w:r w:rsidR="007F3368" w:rsidRPr="00E53CF1">
        <w:t xml:space="preserve">for </w:t>
      </w:r>
      <w:r w:rsidR="005D5C36" w:rsidRPr="00E53CF1">
        <w:t>Ka</w:t>
      </w:r>
      <w:r w:rsidR="00561CF6" w:rsidRPr="00E53CF1">
        <w:t>-</w:t>
      </w:r>
      <w:r w:rsidR="005D5C36" w:rsidRPr="00E53CF1">
        <w:t xml:space="preserve">band </w:t>
      </w:r>
      <w:r w:rsidR="00DF6334" w:rsidRPr="00E53CF1">
        <w:t>geostationary (</w:t>
      </w:r>
      <w:r w:rsidR="007F3368" w:rsidRPr="00E53CF1">
        <w:t>GSO</w:t>
      </w:r>
      <w:r w:rsidR="00DF6334" w:rsidRPr="00E53CF1">
        <w:t>)</w:t>
      </w:r>
      <w:r w:rsidR="007F3368" w:rsidRPr="00E53CF1">
        <w:t xml:space="preserve"> and </w:t>
      </w:r>
      <w:r w:rsidR="00DF6334" w:rsidRPr="00E53CF1">
        <w:t>non-geostationary (</w:t>
      </w:r>
      <w:r w:rsidR="007F3368" w:rsidRPr="00E53CF1">
        <w:t>NGSO</w:t>
      </w:r>
      <w:r w:rsidR="00DF6334" w:rsidRPr="00E53CF1">
        <w:t>)</w:t>
      </w:r>
      <w:r w:rsidR="007F3368" w:rsidRPr="00E53CF1">
        <w:t xml:space="preserve"> ESIM (</w:t>
      </w:r>
      <w:r w:rsidR="00330303" w:rsidRPr="00E53CF1">
        <w:t>c</w:t>
      </w:r>
      <w:r w:rsidR="00121983" w:rsidRPr="00E53CF1">
        <w:t>o</w:t>
      </w:r>
      <w:r w:rsidR="007F3368" w:rsidRPr="00E53CF1">
        <w:t>mpleted</w:t>
      </w:r>
      <w:r w:rsidR="007F3368">
        <w:t xml:space="preserve"> October 2017)</w:t>
      </w:r>
    </w:p>
    <w:p w14:paraId="50469B59" w14:textId="77777777" w:rsidR="00330303" w:rsidRDefault="00330303" w:rsidP="005759E7">
      <w:pPr>
        <w:pStyle w:val="ListBulletLast"/>
      </w:pPr>
      <w:r>
        <w:t xml:space="preserve">a minor update to business operating procedures for licensing space-based communications systems (completed December 2017). </w:t>
      </w:r>
    </w:p>
    <w:p w14:paraId="3FC278CD" w14:textId="77777777" w:rsidR="00CB4118" w:rsidRDefault="00CB4118" w:rsidP="0027128C">
      <w:r>
        <w:t>In June 2018</w:t>
      </w:r>
      <w:r w:rsidR="00BC673B">
        <w:t>,</w:t>
      </w:r>
      <w:r>
        <w:t xml:space="preserve"> the </w:t>
      </w:r>
      <w:r w:rsidR="00002E62">
        <w:t xml:space="preserve">ACMA </w:t>
      </w:r>
      <w:r>
        <w:t xml:space="preserve">commenced </w:t>
      </w:r>
      <w:r w:rsidR="004959E5" w:rsidRPr="00493B5D">
        <w:t>consultation</w:t>
      </w:r>
      <w:r>
        <w:t xml:space="preserve"> on </w:t>
      </w:r>
      <w:r w:rsidRPr="004959E5">
        <w:t xml:space="preserve">Radiocommunications (Communication with Space Object) Class Licence and amendments to the Radiocommunications (Foreign Space Objects) Determination 2014 and the Radiocommunications (Australian Space Objects) Determination 2014.  </w:t>
      </w:r>
    </w:p>
    <w:p w14:paraId="22A137A7" w14:textId="77777777" w:rsidR="007F3368" w:rsidRDefault="009C2FFE" w:rsidP="0027128C">
      <w:r>
        <w:t>T</w:t>
      </w:r>
      <w:r w:rsidR="007F3368">
        <w:t xml:space="preserve">he ACMA </w:t>
      </w:r>
      <w:r w:rsidR="00807B75">
        <w:t>is</w:t>
      </w:r>
      <w:r w:rsidR="007F3368">
        <w:t xml:space="preserve"> review</w:t>
      </w:r>
      <w:r w:rsidR="00807B75">
        <w:t>ing</w:t>
      </w:r>
      <w:r w:rsidR="007F3368">
        <w:t xml:space="preserve"> frequency coordination requirements between apparatus-licensed fixed point-to-point links </w:t>
      </w:r>
      <w:r w:rsidR="00DF6334">
        <w:t>(in the 6 and 6.7 GHz</w:t>
      </w:r>
      <w:r w:rsidR="00D16A11">
        <w:t xml:space="preserve"> bands</w:t>
      </w:r>
      <w:r w:rsidR="00DF6334">
        <w:t xml:space="preserve">) </w:t>
      </w:r>
      <w:r w:rsidR="007F3368">
        <w:t xml:space="preserve">and </w:t>
      </w:r>
      <w:r w:rsidR="00E655B6">
        <w:t xml:space="preserve">FSS </w:t>
      </w:r>
      <w:r w:rsidR="007F3368">
        <w:t xml:space="preserve">earth stations communicating with </w:t>
      </w:r>
      <w:r w:rsidR="00DF6334">
        <w:t xml:space="preserve">GSO </w:t>
      </w:r>
      <w:r w:rsidR="007F3368">
        <w:t xml:space="preserve">satellites. </w:t>
      </w:r>
      <w:r w:rsidR="00DF6334">
        <w:t>I</w:t>
      </w:r>
      <w:r w:rsidR="007F3368">
        <w:t>t was forecast that consultation would begin Q1 2018</w:t>
      </w:r>
      <w:r w:rsidR="00063F57">
        <w:t>–</w:t>
      </w:r>
      <w:r w:rsidR="007F3368">
        <w:t>19, however</w:t>
      </w:r>
      <w:r w:rsidR="002F10B6">
        <w:t>,</w:t>
      </w:r>
      <w:r w:rsidR="007F3368">
        <w:t xml:space="preserve"> this work has been delayed </w:t>
      </w:r>
      <w:r w:rsidR="0097320E">
        <w:t>to Q2</w:t>
      </w:r>
      <w:r w:rsidR="007F3368">
        <w:t>.</w:t>
      </w:r>
    </w:p>
    <w:p w14:paraId="1DE0B9B7" w14:textId="77777777" w:rsidR="009C2FFE" w:rsidRPr="005B4845" w:rsidRDefault="009C2FFE" w:rsidP="001B1B7A">
      <w:pPr>
        <w:pStyle w:val="BodySubHeader"/>
        <w:keepNext/>
        <w:keepLines/>
      </w:pPr>
      <w:r w:rsidRPr="005B4845">
        <w:lastRenderedPageBreak/>
        <w:t>Activities planned for 2018</w:t>
      </w:r>
      <w:r w:rsidR="002F10B6" w:rsidRPr="005B4845">
        <w:t>–</w:t>
      </w:r>
      <w:r w:rsidRPr="005B4845">
        <w:t xml:space="preserve">19 </w:t>
      </w:r>
    </w:p>
    <w:p w14:paraId="51417639" w14:textId="77777777" w:rsidR="003D7FAC" w:rsidRPr="00344590" w:rsidRDefault="003D7FAC" w:rsidP="001B1B7A">
      <w:pPr>
        <w:pStyle w:val="BodySubHeader"/>
        <w:keepNext/>
        <w:keepLines/>
      </w:pPr>
      <w:r w:rsidRPr="00344590">
        <w:t xml:space="preserve">Frequency coordination of earth stations and with </w:t>
      </w:r>
      <w:r w:rsidR="005D5C36" w:rsidRPr="00344590">
        <w:t>point-to-point links</w:t>
      </w:r>
    </w:p>
    <w:p w14:paraId="57615341" w14:textId="77777777" w:rsidR="001A7901" w:rsidRDefault="001A7901" w:rsidP="001B1B7A">
      <w:pPr>
        <w:keepNext/>
        <w:keepLines/>
      </w:pPr>
      <w:r>
        <w:t xml:space="preserve">The ACMA is progressing the review of </w:t>
      </w:r>
      <w:r w:rsidR="00DF6334">
        <w:t>frequency coordination requirements between apparatus-licensed fixed point-to-point links (in the 6 and 6.7 GHz</w:t>
      </w:r>
      <w:r w:rsidR="00D16A11">
        <w:t xml:space="preserve"> bands</w:t>
      </w:r>
      <w:r w:rsidR="00DF6334">
        <w:t xml:space="preserve">) and </w:t>
      </w:r>
      <w:r w:rsidR="00E655B6">
        <w:t xml:space="preserve">FSS </w:t>
      </w:r>
      <w:r w:rsidR="00DF6334">
        <w:t>earth stations communicating with GSO satellites</w:t>
      </w:r>
      <w:r>
        <w:t xml:space="preserve">. Initial work is focusing on </w:t>
      </w:r>
      <w:r w:rsidR="00AF19BE">
        <w:t xml:space="preserve">codifying procedures in the </w:t>
      </w:r>
      <w:r>
        <w:t xml:space="preserve">6 and 6.7 GHz fixed point-to-point bands and for communications with </w:t>
      </w:r>
      <w:r w:rsidR="00DF6334">
        <w:t>GSO</w:t>
      </w:r>
      <w:r>
        <w:t xml:space="preserve"> satellites. </w:t>
      </w:r>
      <w:r w:rsidR="00AF19BE">
        <w:t>However</w:t>
      </w:r>
      <w:r w:rsidR="002F10B6">
        <w:t>,</w:t>
      </w:r>
      <w:r>
        <w:t xml:space="preserve"> the scope </w:t>
      </w:r>
      <w:r w:rsidR="00AF19BE">
        <w:t xml:space="preserve">of these procedures will be incrementally expanded as required. </w:t>
      </w:r>
    </w:p>
    <w:p w14:paraId="4BC3C9B1" w14:textId="77777777" w:rsidR="001A7901" w:rsidRDefault="006E447B" w:rsidP="001A7901">
      <w:r>
        <w:t>C</w:t>
      </w:r>
      <w:r w:rsidR="001A7901">
        <w:t>onsultations</w:t>
      </w:r>
      <w:r w:rsidR="001A7901" w:rsidDel="006E447B">
        <w:t xml:space="preserve"> </w:t>
      </w:r>
      <w:r>
        <w:t xml:space="preserve">on draft coordination requirements </w:t>
      </w:r>
      <w:r w:rsidR="001A7901">
        <w:t xml:space="preserve">expected to commence </w:t>
      </w:r>
      <w:r w:rsidR="00AF19BE">
        <w:t>Q</w:t>
      </w:r>
      <w:r>
        <w:t>2</w:t>
      </w:r>
      <w:r w:rsidR="001A7901">
        <w:t xml:space="preserve"> 2018–19.</w:t>
      </w:r>
    </w:p>
    <w:p w14:paraId="311D666A" w14:textId="77777777" w:rsidR="003D7FAC" w:rsidRPr="0037046B" w:rsidRDefault="00016561" w:rsidP="001B0F77">
      <w:pPr>
        <w:pStyle w:val="BodySubHeader"/>
        <w:keepNext/>
      </w:pPr>
      <w:r w:rsidRPr="00344590">
        <w:t xml:space="preserve">Spectrum arrangements for </w:t>
      </w:r>
      <w:r w:rsidR="002F10B6" w:rsidRPr="00344590">
        <w:t>‘</w:t>
      </w:r>
      <w:r w:rsidRPr="00344590">
        <w:t>small satellites</w:t>
      </w:r>
      <w:r w:rsidR="002F10B6" w:rsidRPr="0037046B">
        <w:t>’</w:t>
      </w:r>
    </w:p>
    <w:p w14:paraId="4FEEC58D" w14:textId="77777777" w:rsidR="008C7725" w:rsidRDefault="008C7725" w:rsidP="00FC654E">
      <w:r>
        <w:t>The ACMA is aware that many of the innovations in the satellite sector are from the use of small satellites</w:t>
      </w:r>
      <w:r w:rsidR="00AF19BE">
        <w:t>, often supporting short</w:t>
      </w:r>
      <w:r w:rsidR="002F10B6">
        <w:t>-</w:t>
      </w:r>
      <w:r w:rsidR="00AF19BE">
        <w:t>duration missions</w:t>
      </w:r>
      <w:r>
        <w:t>.</w:t>
      </w:r>
      <w:r w:rsidR="00AF19BE">
        <w:t xml:space="preserve"> </w:t>
      </w:r>
      <w:r w:rsidR="0002443B">
        <w:t>S</w:t>
      </w:r>
      <w:r w:rsidR="00AF19BE">
        <w:t>ome of these uses are not optimally supported by existing domestic and international regulatory and planning arrangements</w:t>
      </w:r>
      <w:r w:rsidR="002F10B6">
        <w:t>—</w:t>
      </w:r>
      <w:r w:rsidR="0002443B">
        <w:t>al</w:t>
      </w:r>
      <w:r w:rsidR="00AF19BE">
        <w:t>though on</w:t>
      </w:r>
      <w:r w:rsidR="0002443B">
        <w:t>c</w:t>
      </w:r>
      <w:r w:rsidR="00AF19BE">
        <w:t>e a ‘small satellite’ is used as part for an ongoing constellation</w:t>
      </w:r>
      <w:r w:rsidR="002F10B6">
        <w:t>,</w:t>
      </w:r>
      <w:r w:rsidR="00AF19BE">
        <w:t xml:space="preserve"> the spectrum management implications are more analogous to traditional satellite systems and</w:t>
      </w:r>
      <w:r w:rsidR="002F10B6">
        <w:t>,</w:t>
      </w:r>
      <w:r w:rsidR="00AF19BE">
        <w:t xml:space="preserve"> hence</w:t>
      </w:r>
      <w:r w:rsidR="002F10B6">
        <w:t>,</w:t>
      </w:r>
      <w:r w:rsidR="00AF19BE">
        <w:t xml:space="preserve"> unique regulatory arrangements are less likely to be required.</w:t>
      </w:r>
      <w:r w:rsidR="00447762">
        <w:t xml:space="preserve"> </w:t>
      </w:r>
    </w:p>
    <w:p w14:paraId="161D9249" w14:textId="77777777" w:rsidR="008C7725" w:rsidRDefault="003E0A99" w:rsidP="0023477F">
      <w:pPr>
        <w:pStyle w:val="CommentText"/>
      </w:pPr>
      <w:r>
        <w:t xml:space="preserve">Ongoing changes in the space industry suggest that ACMA needs to improve its engagement with a range of new entrant organisations that are typically smaller than it is used to dealing with. Examples </w:t>
      </w:r>
      <w:r w:rsidR="002F10B6">
        <w:t xml:space="preserve">include </w:t>
      </w:r>
      <w:r>
        <w:t>start-up companies and university-based teams with a particular focus on short</w:t>
      </w:r>
      <w:r w:rsidR="002F10B6">
        <w:t>-</w:t>
      </w:r>
      <w:r>
        <w:t xml:space="preserve">duration small satellites. </w:t>
      </w:r>
    </w:p>
    <w:p w14:paraId="0781A8C1" w14:textId="77777777" w:rsidR="008C7725" w:rsidRDefault="008C7725" w:rsidP="00FC654E">
      <w:r>
        <w:t>To better inform and assist innovation and growth in the space industry, the</w:t>
      </w:r>
      <w:r w:rsidR="0037254E">
        <w:t xml:space="preserve">re </w:t>
      </w:r>
      <w:r>
        <w:t>is a need to develop specific information on spectrum management targeted at small organisations</w:t>
      </w:r>
      <w:r w:rsidR="0037254E">
        <w:t xml:space="preserve">, </w:t>
      </w:r>
      <w:r w:rsidR="002F10B6">
        <w:t xml:space="preserve">as well as </w:t>
      </w:r>
      <w:r>
        <w:t>more streamline</w:t>
      </w:r>
      <w:r w:rsidR="00016561">
        <w:t>d</w:t>
      </w:r>
      <w:r>
        <w:t xml:space="preserve"> ways for such organisation</w:t>
      </w:r>
      <w:r w:rsidR="00016561">
        <w:t>s</w:t>
      </w:r>
      <w:r>
        <w:t xml:space="preserve"> to access spectrum, both for trial and demonstration purposes</w:t>
      </w:r>
      <w:r w:rsidR="000B35F0">
        <w:t>,</w:t>
      </w:r>
      <w:r>
        <w:t xml:space="preserve"> and provide a </w:t>
      </w:r>
      <w:r w:rsidR="00B971FB">
        <w:t>possibl</w:t>
      </w:r>
      <w:r w:rsidR="0037254E">
        <w:t>e</w:t>
      </w:r>
      <w:r w:rsidR="00B971FB">
        <w:t xml:space="preserve"> </w:t>
      </w:r>
      <w:r>
        <w:t>pathway to commercialisation.</w:t>
      </w:r>
    </w:p>
    <w:p w14:paraId="1433AA5D" w14:textId="77777777" w:rsidR="00672016" w:rsidRDefault="00B971FB" w:rsidP="00FC654E">
      <w:r>
        <w:t>The</w:t>
      </w:r>
      <w:r w:rsidR="008C7725" w:rsidDel="00B971FB">
        <w:t xml:space="preserve"> </w:t>
      </w:r>
      <w:r w:rsidR="008C7725">
        <w:t xml:space="preserve">ACMA </w:t>
      </w:r>
      <w:r w:rsidR="0037254E">
        <w:t>plan</w:t>
      </w:r>
      <w:r>
        <w:t xml:space="preserve">s to </w:t>
      </w:r>
      <w:r w:rsidR="008C7725">
        <w:t>seek</w:t>
      </w:r>
      <w:r>
        <w:t xml:space="preserve"> the </w:t>
      </w:r>
      <w:r w:rsidR="008C7725">
        <w:t xml:space="preserve">views of industry </w:t>
      </w:r>
      <w:r w:rsidR="000B35F0">
        <w:t>about</w:t>
      </w:r>
      <w:r w:rsidR="008C7725">
        <w:t xml:space="preserve"> what changes can be made to the existing spectrum management framework to support such needs</w:t>
      </w:r>
      <w:r w:rsidR="0037254E">
        <w:t>,</w:t>
      </w:r>
      <w:r w:rsidR="008C7725">
        <w:t xml:space="preserve"> </w:t>
      </w:r>
      <w:r>
        <w:t xml:space="preserve">while ensuring a </w:t>
      </w:r>
      <w:r w:rsidR="0037254E">
        <w:t xml:space="preserve">continuing, </w:t>
      </w:r>
      <w:r>
        <w:t>stable regulatory environment for ‘traditional’ satellite use</w:t>
      </w:r>
      <w:r w:rsidR="0037254E">
        <w:t>rs</w:t>
      </w:r>
      <w:r w:rsidR="00016561">
        <w:t>.</w:t>
      </w:r>
      <w:r>
        <w:t xml:space="preserve"> </w:t>
      </w:r>
    </w:p>
    <w:p w14:paraId="1D1B78BF" w14:textId="77777777" w:rsidR="008C7725" w:rsidRPr="002268C9" w:rsidRDefault="000B35F0" w:rsidP="00FC654E">
      <w:r>
        <w:t xml:space="preserve">Depending </w:t>
      </w:r>
      <w:r w:rsidR="008C7725">
        <w:t xml:space="preserve">on stakeholder feedback and project prioritisation, the ACMA </w:t>
      </w:r>
      <w:r w:rsidR="00B971FB">
        <w:t xml:space="preserve">expects to commence this work </w:t>
      </w:r>
      <w:r w:rsidR="003E0A99">
        <w:t>towards</w:t>
      </w:r>
      <w:r w:rsidR="00B971FB">
        <w:t xml:space="preserve"> the end of Q</w:t>
      </w:r>
      <w:r w:rsidR="00A36118">
        <w:t>2</w:t>
      </w:r>
      <w:r w:rsidR="00B971FB">
        <w:t xml:space="preserve"> 2018–19</w:t>
      </w:r>
      <w:r w:rsidR="00063F57">
        <w:t>,</w:t>
      </w:r>
      <w:r w:rsidR="00CB4118">
        <w:t xml:space="preserve"> with </w:t>
      </w:r>
      <w:r w:rsidR="00063F57">
        <w:t xml:space="preserve">the </w:t>
      </w:r>
      <w:r w:rsidR="00CB4118">
        <w:t>release of a discussion paper by end Q3 2018</w:t>
      </w:r>
      <w:r w:rsidR="00063F57">
        <w:t>–</w:t>
      </w:r>
      <w:r w:rsidR="00CB4118">
        <w:t>19</w:t>
      </w:r>
      <w:r w:rsidR="008C7725">
        <w:t>.</w:t>
      </w:r>
    </w:p>
    <w:p w14:paraId="41F3EB63" w14:textId="77777777" w:rsidR="00B971FB" w:rsidRDefault="00992750" w:rsidP="005759E7">
      <w:pPr>
        <w:pStyle w:val="BodySubHeader"/>
      </w:pPr>
      <w:r>
        <w:t>Updating regulatory arrangement</w:t>
      </w:r>
      <w:r w:rsidR="00985FA1">
        <w:t>s</w:t>
      </w:r>
      <w:r>
        <w:t xml:space="preserve"> for space</w:t>
      </w:r>
      <w:r w:rsidR="000B35F0">
        <w:t>-</w:t>
      </w:r>
      <w:r>
        <w:t xml:space="preserve">based communications systems </w:t>
      </w:r>
    </w:p>
    <w:p w14:paraId="459A110D" w14:textId="77777777" w:rsidR="00FB6B0A" w:rsidRDefault="00FB6B0A" w:rsidP="000B35F0">
      <w:r w:rsidRPr="00D35496">
        <w:t>The ACMA will continue to monitor trends in the spectrum needs of space-based communications systems, as well as developments in emerging space-based technologies and applications. Further updates (beyond those already undertaken in 2017</w:t>
      </w:r>
      <w:r>
        <w:t>–</w:t>
      </w:r>
      <w:r w:rsidRPr="00D35496">
        <w:t>18) to regulatory arrangements</w:t>
      </w:r>
      <w:r>
        <w:rPr>
          <w:rStyle w:val="FootnoteReference"/>
        </w:rPr>
        <w:footnoteReference w:id="34"/>
      </w:r>
      <w:r w:rsidRPr="00D35496">
        <w:t xml:space="preserve"> are likely to be necessary to support continued innovation in the sector. This future work will depend on stakeholder feedback and its priority relative to other projects in the</w:t>
      </w:r>
      <w:r>
        <w:t xml:space="preserve"> ACMA’s</w:t>
      </w:r>
      <w:r w:rsidRPr="00D35496">
        <w:t xml:space="preserve"> spectrum work program. Organisations planning new satellite communication systems and intending to use existing systems are encouraged to contact the ACMA to discuss whether such updates are required and </w:t>
      </w:r>
      <w:r>
        <w:t xml:space="preserve">the </w:t>
      </w:r>
      <w:r w:rsidRPr="00D35496">
        <w:t>timing of such updates.</w:t>
      </w:r>
    </w:p>
    <w:p w14:paraId="428D02A1" w14:textId="77777777" w:rsidR="00B514B8" w:rsidRPr="00D35496" w:rsidRDefault="00B514B8" w:rsidP="00B514B8">
      <w:r>
        <w:lastRenderedPageBreak/>
        <w:t xml:space="preserve">The ACMA intends to monitor deployments with a view to assessing in future years whether such a change is required or viable given the potential impact on terrestrial services. </w:t>
      </w:r>
    </w:p>
    <w:p w14:paraId="36AAAB56" w14:textId="77777777" w:rsidR="00B514B8" w:rsidRDefault="00CB4118" w:rsidP="00B514B8">
      <w:r>
        <w:t>Going forward</w:t>
      </w:r>
      <w:r w:rsidR="00063F57">
        <w:t>,</w:t>
      </w:r>
      <w:r>
        <w:t xml:space="preserve"> the ACMA work on 28 GHz will also </w:t>
      </w:r>
      <w:r w:rsidR="00F11809">
        <w:t>include</w:t>
      </w:r>
      <w:r>
        <w:t xml:space="preserve"> considerations of future </w:t>
      </w:r>
      <w:r w:rsidR="00E94117">
        <w:t>Ka</w:t>
      </w:r>
      <w:r w:rsidR="00063F57">
        <w:t>-</w:t>
      </w:r>
      <w:r w:rsidR="00E94117">
        <w:t xml:space="preserve">band </w:t>
      </w:r>
      <w:r>
        <w:t>satellite usage</w:t>
      </w:r>
      <w:r w:rsidR="00E94117">
        <w:t xml:space="preserve">.  </w:t>
      </w:r>
    </w:p>
    <w:p w14:paraId="4C7BDBB5" w14:textId="77777777" w:rsidR="00AF65F1" w:rsidRDefault="00AF65F1" w:rsidP="00350C72">
      <w:pPr>
        <w:pStyle w:val="BodySubHeader"/>
        <w:keepNext/>
      </w:pPr>
      <w:r>
        <w:t>General review of space licensing procedures</w:t>
      </w:r>
    </w:p>
    <w:p w14:paraId="46A883F3" w14:textId="77777777" w:rsidR="00FB6B0A" w:rsidRDefault="00FB6B0A" w:rsidP="005759E7">
      <w:pPr>
        <w:spacing w:after="80"/>
      </w:pPr>
      <w:r>
        <w:t xml:space="preserve">In </w:t>
      </w:r>
      <w:r w:rsidRPr="00FC654E">
        <w:t>December 2017</w:t>
      </w:r>
      <w:r w:rsidR="000B35F0">
        <w:t>,</w:t>
      </w:r>
      <w:r w:rsidRPr="00FC654E">
        <w:t xml:space="preserve"> the ACMA</w:t>
      </w:r>
      <w:r>
        <w:t xml:space="preserve"> completed an initial update of general procedures for licensing space–based communications systems. The ACMA is now undertaking a more detailed review. One of the key purposes of the review is to consider whether</w:t>
      </w:r>
      <w:r w:rsidR="00063F57">
        <w:t>,</w:t>
      </w:r>
      <w:r>
        <w:t xml:space="preserve"> in light of trends in spaced-based communications systems</w:t>
      </w:r>
      <w:r w:rsidR="00063F57">
        <w:t>,</w:t>
      </w:r>
      <w:r>
        <w:t xml:space="preserve"> </w:t>
      </w:r>
      <w:r w:rsidR="000B35F0">
        <w:t xml:space="preserve">if </w:t>
      </w:r>
      <w:r>
        <w:t>licensing procedures are appropriate and commensurate with the risk of interference, and consider possible updates to business operating procedures for licensing of space-based communications systems.</w:t>
      </w:r>
      <w:r>
        <w:rPr>
          <w:rStyle w:val="FootnoteReference"/>
        </w:rPr>
        <w:footnoteReference w:id="35"/>
      </w:r>
      <w:r>
        <w:t xml:space="preserve"> Given issues raised in submissions, some topics in the scope of the review </w:t>
      </w:r>
      <w:r w:rsidR="009263D1">
        <w:t>are whether</w:t>
      </w:r>
      <w:r w:rsidR="000B35F0">
        <w:t xml:space="preserve"> </w:t>
      </w:r>
      <w:r>
        <w:t>there is a need to include additional measures for:</w:t>
      </w:r>
    </w:p>
    <w:p w14:paraId="49DAC8E9" w14:textId="77777777" w:rsidR="00FB6B0A" w:rsidRPr="00551873" w:rsidRDefault="00FB6B0A" w:rsidP="005759E7">
      <w:pPr>
        <w:pStyle w:val="ListBullet"/>
      </w:pPr>
      <w:r>
        <w:t>when</w:t>
      </w:r>
      <w:r w:rsidRPr="00CA45D7" w:rsidDel="006D64BD">
        <w:t xml:space="preserve"> </w:t>
      </w:r>
      <w:r w:rsidRPr="00CA45D7">
        <w:t>the ITU satellite coordination process are not completed</w:t>
      </w:r>
    </w:p>
    <w:p w14:paraId="695A5EFF" w14:textId="77777777" w:rsidR="00FB6B0A" w:rsidRPr="00947F88" w:rsidRDefault="00FB6B0A" w:rsidP="005759E7">
      <w:pPr>
        <w:pStyle w:val="ListBulletLast"/>
        <w:rPr>
          <w:color w:val="1F497D"/>
        </w:rPr>
      </w:pPr>
      <w:r w:rsidRPr="00CA45D7">
        <w:t>cases where the satellite network has been recorded in the Master International Frequency Register (MIFR) in accordance w</w:t>
      </w:r>
      <w:r w:rsidRPr="00947F88">
        <w:t>ith ITU Radio Regulation No. 11.</w:t>
      </w:r>
      <w:r w:rsidR="001971EA">
        <w:t>41</w:t>
      </w:r>
      <w:r w:rsidR="00063F57">
        <w:t>.</w:t>
      </w:r>
    </w:p>
    <w:p w14:paraId="4AFB39FF" w14:textId="77777777" w:rsidR="00D34C68" w:rsidRDefault="00F84899" w:rsidP="00FC654E">
      <w:r>
        <w:t>A consultation paper is proposed for release in Q</w:t>
      </w:r>
      <w:r w:rsidR="002E7447">
        <w:t>2</w:t>
      </w:r>
      <w:r>
        <w:t xml:space="preserve"> 2018</w:t>
      </w:r>
      <w:r w:rsidR="000B35F0">
        <w:t>–</w:t>
      </w:r>
      <w:r>
        <w:t xml:space="preserve">19. </w:t>
      </w:r>
    </w:p>
    <w:p w14:paraId="22ECD1EA" w14:textId="77777777" w:rsidR="00DB04B9" w:rsidRPr="00CA5FD2" w:rsidRDefault="00DB04B9" w:rsidP="005759E7">
      <w:pPr>
        <w:pStyle w:val="BodySubHeader"/>
      </w:pPr>
      <w:r w:rsidRPr="00CA5FD2">
        <w:t>Review of regulatory arrangements for earth stations in motion (ESIM)</w:t>
      </w:r>
      <w:r>
        <w:t xml:space="preserve"> parts of Ku</w:t>
      </w:r>
      <w:r w:rsidR="00231D4A">
        <w:t>-</w:t>
      </w:r>
      <w:r>
        <w:t>band</w:t>
      </w:r>
    </w:p>
    <w:p w14:paraId="723DD585" w14:textId="77777777" w:rsidR="00B514B8" w:rsidRDefault="00E94117" w:rsidP="00B514B8">
      <w:r>
        <w:t>There is interest in</w:t>
      </w:r>
      <w:r w:rsidR="00B514B8">
        <w:t xml:space="preserve"> </w:t>
      </w:r>
      <w:r w:rsidR="00B514B8" w:rsidRPr="00D35496">
        <w:t xml:space="preserve">using ubiquitous </w:t>
      </w:r>
      <w:r w:rsidR="00B514B8" w:rsidRPr="00E53CF1">
        <w:t>ESIM</w:t>
      </w:r>
      <w:r w:rsidR="00B514B8" w:rsidRPr="00D35496">
        <w:t xml:space="preserve"> </w:t>
      </w:r>
      <w:r w:rsidR="00B514B8">
        <w:t xml:space="preserve">in </w:t>
      </w:r>
      <w:r w:rsidR="00231D4A">
        <w:t xml:space="preserve">the </w:t>
      </w:r>
      <w:r w:rsidR="00B514B8" w:rsidRPr="00310D99">
        <w:t>Ku</w:t>
      </w:r>
      <w:r w:rsidR="00231D4A">
        <w:t>-</w:t>
      </w:r>
      <w:r w:rsidR="00B514B8" w:rsidRPr="00310D99">
        <w:t>band</w:t>
      </w:r>
      <w:r w:rsidR="00B514B8">
        <w:t>. Progressively, from June 2016, the ACMA has been developing m</w:t>
      </w:r>
      <w:r w:rsidR="00B514B8" w:rsidRPr="00D35496">
        <w:t xml:space="preserve">ore flexible </w:t>
      </w:r>
      <w:r w:rsidR="00B514B8" w:rsidRPr="00964F02">
        <w:t xml:space="preserve">regulatory and licensing arrangements </w:t>
      </w:r>
      <w:r w:rsidR="00B514B8">
        <w:t>for</w:t>
      </w:r>
      <w:r w:rsidR="00B514B8" w:rsidRPr="00D35496">
        <w:t xml:space="preserve"> </w:t>
      </w:r>
      <w:r w:rsidR="00B514B8">
        <w:t xml:space="preserve">NGSO and GSO satellite services operating in </w:t>
      </w:r>
      <w:r w:rsidR="00231D4A">
        <w:t xml:space="preserve">the </w:t>
      </w:r>
      <w:r w:rsidR="00B514B8">
        <w:t>Ka</w:t>
      </w:r>
      <w:r w:rsidR="00231D4A">
        <w:t>-</w:t>
      </w:r>
      <w:r w:rsidR="00B514B8">
        <w:t xml:space="preserve">band, most recently in October 2017. </w:t>
      </w:r>
    </w:p>
    <w:p w14:paraId="49355583" w14:textId="77777777" w:rsidR="00DB04B9" w:rsidRDefault="00DB04B9" w:rsidP="0027128C">
      <w:r>
        <w:t xml:space="preserve">The ACMA intends to </w:t>
      </w:r>
      <w:r w:rsidRPr="00FA3274">
        <w:rPr>
          <w:rFonts w:cs="Arial"/>
          <w:szCs w:val="20"/>
        </w:rPr>
        <w:t xml:space="preserve">review </w:t>
      </w:r>
      <w:r>
        <w:rPr>
          <w:rFonts w:cs="Arial"/>
          <w:szCs w:val="20"/>
        </w:rPr>
        <w:t xml:space="preserve">existing arrangements to identify what (if any) </w:t>
      </w:r>
      <w:r w:rsidRPr="00FA3274">
        <w:rPr>
          <w:rFonts w:cs="Arial"/>
          <w:szCs w:val="20"/>
        </w:rPr>
        <w:t xml:space="preserve">changes are required to existing regulatory and licensing arrangements to support ESIM in </w:t>
      </w:r>
      <w:r w:rsidR="00231D4A">
        <w:rPr>
          <w:rFonts w:cs="Arial"/>
          <w:szCs w:val="20"/>
        </w:rPr>
        <w:t xml:space="preserve">the </w:t>
      </w:r>
      <w:r w:rsidRPr="00FA3274">
        <w:rPr>
          <w:rFonts w:cs="Arial"/>
          <w:szCs w:val="20"/>
        </w:rPr>
        <w:t>Ku</w:t>
      </w:r>
      <w:r w:rsidR="00231D4A">
        <w:rPr>
          <w:rFonts w:cs="Arial"/>
          <w:szCs w:val="20"/>
        </w:rPr>
        <w:t>-</w:t>
      </w:r>
      <w:r w:rsidRPr="00FA3274">
        <w:rPr>
          <w:rFonts w:cs="Arial"/>
          <w:szCs w:val="20"/>
        </w:rPr>
        <w:t>band for both GSO and NGSO satellite networks</w:t>
      </w:r>
      <w:r>
        <w:rPr>
          <w:rFonts w:cs="Arial"/>
          <w:szCs w:val="20"/>
        </w:rPr>
        <w:t>.</w:t>
      </w:r>
    </w:p>
    <w:p w14:paraId="1E1E68B8" w14:textId="77777777" w:rsidR="00DB04B9" w:rsidRDefault="00DB04B9" w:rsidP="0027128C">
      <w:r>
        <w:rPr>
          <w:rFonts w:cs="Arial"/>
          <w:szCs w:val="20"/>
        </w:rPr>
        <w:t>This work is anticipate</w:t>
      </w:r>
      <w:r w:rsidR="0023477F">
        <w:rPr>
          <w:rFonts w:cs="Arial"/>
          <w:szCs w:val="20"/>
        </w:rPr>
        <w:t>d</w:t>
      </w:r>
      <w:r>
        <w:rPr>
          <w:rFonts w:cs="Arial"/>
          <w:szCs w:val="20"/>
        </w:rPr>
        <w:t xml:space="preserve"> to commence after completion of current satellite communication projects and no earlier than </w:t>
      </w:r>
      <w:r>
        <w:t>the end of Q2 2018–19</w:t>
      </w:r>
      <w:r w:rsidR="00063F57">
        <w:t>,</w:t>
      </w:r>
      <w:r w:rsidR="00E94117">
        <w:t xml:space="preserve"> with</w:t>
      </w:r>
      <w:r w:rsidR="002B2F2E">
        <w:t xml:space="preserve"> </w:t>
      </w:r>
      <w:r w:rsidR="00F11809">
        <w:t>public consultation</w:t>
      </w:r>
      <w:r w:rsidR="002B2F2E">
        <w:t xml:space="preserve"> in Q3</w:t>
      </w:r>
      <w:r>
        <w:t>.</w:t>
      </w:r>
    </w:p>
    <w:p w14:paraId="0FA4246D" w14:textId="77777777" w:rsidR="00DB04B9" w:rsidRDefault="00DB04B9" w:rsidP="005759E7">
      <w:pPr>
        <w:pStyle w:val="BodySubHeader"/>
      </w:pPr>
      <w:r w:rsidRPr="00DB04B9">
        <w:t>Feasibility of inclusion of 10.7</w:t>
      </w:r>
      <w:r w:rsidR="00727DD8">
        <w:t>–</w:t>
      </w:r>
      <w:r w:rsidRPr="00DB04B9">
        <w:t>11.7 GHz in the Communications with Space Objects Class Licence</w:t>
      </w:r>
    </w:p>
    <w:p w14:paraId="27162B50" w14:textId="77777777" w:rsidR="006E113A" w:rsidRDefault="006E113A" w:rsidP="006E113A">
      <w:r>
        <w:t>Some respondents to FYSO suggested</w:t>
      </w:r>
      <w:r w:rsidR="004044E4">
        <w:t xml:space="preserve"> that the</w:t>
      </w:r>
      <w:r>
        <w:t xml:space="preserve"> </w:t>
      </w:r>
      <w:r w:rsidRPr="00C43A99">
        <w:t>Radiocommunications (Communication with Space Object) Class Licence</w:t>
      </w:r>
      <w:r>
        <w:t xml:space="preserve"> be updated to include the 10.7</w:t>
      </w:r>
      <w:r w:rsidR="00231D4A">
        <w:t>–</w:t>
      </w:r>
      <w:r>
        <w:t xml:space="preserve">11.7 GHz band for earth station receivers. </w:t>
      </w:r>
    </w:p>
    <w:p w14:paraId="18885B01" w14:textId="77777777" w:rsidR="006E113A" w:rsidRDefault="006E113A" w:rsidP="006E113A">
      <w:r>
        <w:t xml:space="preserve">That frequency range </w:t>
      </w:r>
      <w:r w:rsidR="00063F57">
        <w:t xml:space="preserve">(known as the ‘11 GHz band’) </w:t>
      </w:r>
      <w:r>
        <w:t>is used for fixed point-to-point links and is one of the most heavily used microwave fixed point-to-point link bands in Australia</w:t>
      </w:r>
      <w:r w:rsidR="00231D4A">
        <w:t>,</w:t>
      </w:r>
      <w:r>
        <w:t xml:space="preserve"> with over </w:t>
      </w:r>
      <w:r w:rsidRPr="00FC654E">
        <w:t>11</w:t>
      </w:r>
      <w:r w:rsidR="00231D4A">
        <w:t>,</w:t>
      </w:r>
      <w:r w:rsidRPr="00FC654E">
        <w:t>700 links</w:t>
      </w:r>
      <w:r>
        <w:t xml:space="preserve"> in operation. Earth stations currently operate in this frequency range on an individual coordinated basis. </w:t>
      </w:r>
    </w:p>
    <w:p w14:paraId="4217FF05" w14:textId="77777777" w:rsidR="004B3010" w:rsidRDefault="006E113A" w:rsidP="00231D4A">
      <w:r>
        <w:t xml:space="preserve">The possible use of ‘ubiquitous’ user terminals under the </w:t>
      </w:r>
      <w:r w:rsidRPr="00CD459E">
        <w:t>class licence</w:t>
      </w:r>
      <w:r>
        <w:t xml:space="preserve"> would require consideration of the impact on fixed links and </w:t>
      </w:r>
      <w:r w:rsidR="002460B3">
        <w:t xml:space="preserve">investigation </w:t>
      </w:r>
      <w:r>
        <w:t>of</w:t>
      </w:r>
      <w:r w:rsidR="002460B3">
        <w:t xml:space="preserve"> any required technical restrictions</w:t>
      </w:r>
      <w:r>
        <w:t xml:space="preserve"> </w:t>
      </w:r>
      <w:r w:rsidR="002460B3">
        <w:t>on</w:t>
      </w:r>
      <w:r>
        <w:t xml:space="preserve"> earth station receive use. </w:t>
      </w:r>
    </w:p>
    <w:p w14:paraId="2D9F2B80" w14:textId="77777777" w:rsidR="006E113A" w:rsidRDefault="006E113A" w:rsidP="00231D4A">
      <w:r>
        <w:lastRenderedPageBreak/>
        <w:t xml:space="preserve">While </w:t>
      </w:r>
      <w:r w:rsidR="005540A2">
        <w:t xml:space="preserve">uncoordinated </w:t>
      </w:r>
      <w:r>
        <w:t xml:space="preserve">earth receive station use would not pose an interference risk to point-to-point links, a relevant consideration is </w:t>
      </w:r>
      <w:r w:rsidR="005540A2">
        <w:t>under what conditions could earth station receivers operate on a</w:t>
      </w:r>
      <w:r w:rsidR="00746F0C">
        <w:t>n</w:t>
      </w:r>
      <w:r w:rsidR="005540A2">
        <w:t xml:space="preserve"> uncoordinated basis with an acceptable probability of interference</w:t>
      </w:r>
      <w:r w:rsidR="00231D4A">
        <w:t>, given</w:t>
      </w:r>
      <w:r w:rsidR="005540A2">
        <w:t xml:space="preserve"> that the</w:t>
      </w:r>
      <w:r w:rsidR="00676443">
        <w:t xml:space="preserve"> </w:t>
      </w:r>
      <w:r w:rsidR="005540A2">
        <w:t xml:space="preserve">introduction </w:t>
      </w:r>
      <w:r>
        <w:t>of class</w:t>
      </w:r>
      <w:r w:rsidR="00231D4A">
        <w:t>-</w:t>
      </w:r>
      <w:r>
        <w:t>licensed earth station receive</w:t>
      </w:r>
      <w:r w:rsidR="005540A2">
        <w:t xml:space="preserve">rs should not lead to undue constraints </w:t>
      </w:r>
      <w:r>
        <w:t xml:space="preserve">on the future deployment and growth of fixed links. </w:t>
      </w:r>
    </w:p>
    <w:p w14:paraId="4E548851" w14:textId="77777777" w:rsidR="00DB04B9" w:rsidRDefault="00DB04B9" w:rsidP="00874FEB">
      <w:pPr>
        <w:keepNext/>
      </w:pPr>
      <w:r w:rsidRPr="00DB04B9">
        <w:t>Depend</w:t>
      </w:r>
      <w:r w:rsidR="00A312EF">
        <w:t>ing</w:t>
      </w:r>
      <w:r w:rsidRPr="00DB04B9">
        <w:t xml:space="preserve"> on completion of existing projects, the ACMA intends to investigate the feasibility and discuss the results with industry. The earliest it is anticipated that this could occur is Q4 2018</w:t>
      </w:r>
      <w:r w:rsidR="00A312EF">
        <w:t>–</w:t>
      </w:r>
      <w:r>
        <w:t>19</w:t>
      </w:r>
      <w:r w:rsidR="002B2F2E">
        <w:t xml:space="preserve">, though the related nature of the Ku ESIMs work may </w:t>
      </w:r>
      <w:r w:rsidR="002B2F2E" w:rsidRPr="002B2F2E">
        <w:t xml:space="preserve">necessitate </w:t>
      </w:r>
      <w:r w:rsidR="002B2F2E">
        <w:t>bringing this work forward to Q3</w:t>
      </w:r>
      <w:r w:rsidDel="002B2F2E">
        <w:t>.</w:t>
      </w:r>
    </w:p>
    <w:p w14:paraId="1BFE7BD2" w14:textId="77777777" w:rsidR="00A0073F" w:rsidRDefault="00A0073F" w:rsidP="00874FEB">
      <w:pPr>
        <w:pStyle w:val="BodySubHeader"/>
        <w:keepNext/>
      </w:pPr>
      <w:r>
        <w:t xml:space="preserve">Filing and coordination of Australian satellite systems. </w:t>
      </w:r>
    </w:p>
    <w:p w14:paraId="0CE0EC74" w14:textId="77777777" w:rsidR="00A0073F" w:rsidRPr="00554698" w:rsidRDefault="00A0073F" w:rsidP="00964F02">
      <w:pPr>
        <w:keepNext/>
        <w:spacing w:after="80"/>
        <w:rPr>
          <w:rFonts w:cs="Arial"/>
          <w:szCs w:val="20"/>
        </w:rPr>
      </w:pPr>
      <w:r>
        <w:t xml:space="preserve">In accordance with the </w:t>
      </w:r>
      <w:hyperlink r:id="rId48" w:tgtFrame="_top" w:history="1">
        <w:r w:rsidRPr="00964F02">
          <w:rPr>
            <w:rStyle w:val="Hyperlink"/>
          </w:rPr>
          <w:t>Australian procedures for the coordination and notification of satellite systems</w:t>
        </w:r>
      </w:hyperlink>
      <w:r w:rsidR="00A312EF" w:rsidRPr="00964F02">
        <w:rPr>
          <w:rStyle w:val="Hyperlink"/>
          <w:color w:val="auto"/>
          <w:u w:val="none"/>
        </w:rPr>
        <w:t>,</w:t>
      </w:r>
      <w:r w:rsidRPr="00964F02">
        <w:t xml:space="preserve"> the ACMA has an ongoing role in the filing and coordination of </w:t>
      </w:r>
      <w:r w:rsidRPr="00964F02">
        <w:rPr>
          <w:rFonts w:cs="Arial"/>
          <w:szCs w:val="20"/>
        </w:rPr>
        <w:t xml:space="preserve">Australian satellite systems with the ITU. </w:t>
      </w:r>
      <w:r w:rsidRPr="00554698">
        <w:rPr>
          <w:rFonts w:cs="Arial"/>
          <w:szCs w:val="20"/>
        </w:rPr>
        <w:t>This includes:</w:t>
      </w:r>
    </w:p>
    <w:p w14:paraId="2BDBC45B" w14:textId="77777777" w:rsidR="00A0073F" w:rsidRPr="00A312EF" w:rsidRDefault="00A0073F" w:rsidP="005759E7">
      <w:pPr>
        <w:pStyle w:val="ListBullet"/>
      </w:pPr>
      <w:r w:rsidRPr="00CA45D7">
        <w:t xml:space="preserve">assisting Australian satellite operators with ongoing satellite coordination </w:t>
      </w:r>
      <w:r w:rsidRPr="00A312EF">
        <w:t>negotiations with other administrations</w:t>
      </w:r>
    </w:p>
    <w:p w14:paraId="2908A2F6" w14:textId="77777777" w:rsidR="00A0073F" w:rsidRPr="007B0700" w:rsidRDefault="00A0073F" w:rsidP="005759E7">
      <w:pPr>
        <w:pStyle w:val="ListBullet"/>
      </w:pPr>
      <w:r w:rsidRPr="00A312EF">
        <w:t>assessment</w:t>
      </w:r>
      <w:r w:rsidRPr="00CA45D7">
        <w:t xml:space="preserve"> of </w:t>
      </w:r>
      <w:r w:rsidRPr="00947F88">
        <w:t>new notices related to progress of existing Australian satellite networks</w:t>
      </w:r>
    </w:p>
    <w:p w14:paraId="4B609148" w14:textId="77777777" w:rsidR="00A0073F" w:rsidRPr="007B0700" w:rsidRDefault="00A0073F" w:rsidP="005759E7">
      <w:pPr>
        <w:pStyle w:val="ListBullet"/>
      </w:pPr>
      <w:r w:rsidRPr="00CA45D7">
        <w:t>filing of new Australian satellite networks</w:t>
      </w:r>
    </w:p>
    <w:p w14:paraId="52B24FCC" w14:textId="77777777" w:rsidR="00A0073F" w:rsidRPr="00947F88" w:rsidRDefault="00A0073F" w:rsidP="005759E7">
      <w:pPr>
        <w:pStyle w:val="ListBulletLast"/>
      </w:pPr>
      <w:r w:rsidRPr="00CA45D7">
        <w:t xml:space="preserve">supporting international administration-level satellite coordination meetings with other </w:t>
      </w:r>
      <w:r w:rsidR="00A312EF">
        <w:t>a</w:t>
      </w:r>
      <w:r w:rsidRPr="00CA45D7">
        <w:t>dministrations</w:t>
      </w:r>
      <w:r w:rsidR="00A312EF">
        <w:t>.</w:t>
      </w:r>
    </w:p>
    <w:p w14:paraId="1DAC1A61" w14:textId="77777777" w:rsidR="00AF65F1" w:rsidRDefault="00D34C68" w:rsidP="005759E7">
      <w:pPr>
        <w:pStyle w:val="BodySubHeader"/>
      </w:pPr>
      <w:r w:rsidRPr="00CA5FD2">
        <w:t>Updating procedures for submission of Australian satellite networks to the ITU</w:t>
      </w:r>
      <w:r w:rsidR="009C2FFE">
        <w:t xml:space="preserve">. </w:t>
      </w:r>
    </w:p>
    <w:p w14:paraId="6E7CC9D6" w14:textId="77777777" w:rsidR="00AF65F1" w:rsidRDefault="00AF65F1" w:rsidP="00A312EF">
      <w:r w:rsidRPr="008C7725">
        <w:t xml:space="preserve">Australian procedures for the coordination and notification of satellite systems with the ITU were developed in 2012. The ACMA will consider </w:t>
      </w:r>
      <w:r w:rsidR="000C70F6">
        <w:t xml:space="preserve">the </w:t>
      </w:r>
      <w:r w:rsidRPr="008C7725">
        <w:t>need for possible updates, drawing on experience in the application of the procedures and input from the Australian satellite operators.</w:t>
      </w:r>
    </w:p>
    <w:p w14:paraId="44580556" w14:textId="77777777" w:rsidR="00AF65F1" w:rsidRDefault="00AF65F1" w:rsidP="0027128C">
      <w:r>
        <w:t xml:space="preserve">The update will consider whether </w:t>
      </w:r>
      <w:r w:rsidR="00A312EF">
        <w:t xml:space="preserve">providing </w:t>
      </w:r>
      <w:r>
        <w:t>better support</w:t>
      </w:r>
      <w:r w:rsidR="00A312EF">
        <w:t xml:space="preserve"> to</w:t>
      </w:r>
      <w:r>
        <w:t xml:space="preserve"> innovations such as the deployment of low-cost, miniaturised space hardware (often referred to as nanosats, cubesats or smallsats), changes in ITU requirements and general improvements,</w:t>
      </w:r>
      <w:r w:rsidR="00A312EF">
        <w:t xml:space="preserve"> is required.</w:t>
      </w:r>
    </w:p>
    <w:p w14:paraId="7FD191F9" w14:textId="77777777" w:rsidR="00AF65F1" w:rsidRPr="00263705" w:rsidRDefault="00AF65F1" w:rsidP="00A312EF">
      <w:r>
        <w:t>Depending on progress of other projects</w:t>
      </w:r>
      <w:r w:rsidR="00A312EF">
        <w:t>,</w:t>
      </w:r>
      <w:r>
        <w:t xml:space="preserve"> there is a possibility </w:t>
      </w:r>
      <w:r w:rsidR="00A312EF">
        <w:t xml:space="preserve">this </w:t>
      </w:r>
      <w:r>
        <w:t xml:space="preserve">work could commence in </w:t>
      </w:r>
      <w:r w:rsidR="00672016">
        <w:t xml:space="preserve">Q4 </w:t>
      </w:r>
      <w:r>
        <w:t>2018</w:t>
      </w:r>
      <w:r w:rsidR="00A312EF">
        <w:t>–</w:t>
      </w:r>
      <w:r>
        <w:t>19.</w:t>
      </w:r>
      <w:r w:rsidR="00E94117">
        <w:t xml:space="preserve"> It </w:t>
      </w:r>
      <w:r w:rsidR="00E94117" w:rsidDel="0097320E">
        <w:t xml:space="preserve">is </w:t>
      </w:r>
      <w:r w:rsidR="00E94117">
        <w:t>possible that work on spectrum for small satellites could result in an earlier target updated.</w:t>
      </w:r>
    </w:p>
    <w:p w14:paraId="25DA0694" w14:textId="77777777" w:rsidR="00B830D0" w:rsidRDefault="00B830D0" w:rsidP="005759E7">
      <w:pPr>
        <w:pStyle w:val="Heading3"/>
      </w:pPr>
      <w:bookmarkStart w:id="261" w:name="_Toc510795083"/>
      <w:bookmarkStart w:id="262" w:name="_Toc511716286"/>
      <w:bookmarkStart w:id="263" w:name="_Toc511719097"/>
      <w:bookmarkStart w:id="264" w:name="_Toc522794092"/>
      <w:bookmarkStart w:id="265" w:name="_Toc524517098"/>
      <w:r>
        <w:t xml:space="preserve">Low interference potential </w:t>
      </w:r>
      <w:r w:rsidRPr="00A312EF">
        <w:t>devices</w:t>
      </w:r>
      <w:r>
        <w:t xml:space="preserve"> (LIPD)</w:t>
      </w:r>
      <w:bookmarkEnd w:id="261"/>
      <w:bookmarkEnd w:id="262"/>
      <w:bookmarkEnd w:id="263"/>
      <w:bookmarkEnd w:id="264"/>
      <w:bookmarkEnd w:id="265"/>
      <w:r>
        <w:t xml:space="preserve"> </w:t>
      </w:r>
    </w:p>
    <w:p w14:paraId="383B1ED4" w14:textId="690EB6B1" w:rsidR="00B830D0" w:rsidRDefault="00A312EF" w:rsidP="0027128C">
      <w:r>
        <w:t>In</w:t>
      </w:r>
      <w:r w:rsidR="00B830D0">
        <w:t xml:space="preserve"> November 2017</w:t>
      </w:r>
      <w:r>
        <w:t>,</w:t>
      </w:r>
      <w:r w:rsidR="00B830D0">
        <w:t xml:space="preserve"> the ACMA consult</w:t>
      </w:r>
      <w:r w:rsidR="004C283C">
        <w:t>ed</w:t>
      </w:r>
      <w:r w:rsidR="00B830D0">
        <w:t xml:space="preserve"> on a proposed update to the Radiocommunications (Low Interference Potential Devices) Class Licence 2015 (LIPD). As part of the consultation</w:t>
      </w:r>
      <w:r w:rsidR="004C283C">
        <w:t>,</w:t>
      </w:r>
      <w:r w:rsidR="00B830D0">
        <w:t xml:space="preserve"> </w:t>
      </w:r>
      <w:r w:rsidR="004C283C">
        <w:t>we</w:t>
      </w:r>
      <w:r w:rsidR="00B830D0">
        <w:t xml:space="preserve"> sought industry views on whether </w:t>
      </w:r>
      <w:r w:rsidR="004C283C">
        <w:t>we</w:t>
      </w:r>
      <w:r w:rsidR="00B830D0">
        <w:t xml:space="preserve"> should </w:t>
      </w:r>
      <w:r w:rsidR="00B830D0" w:rsidRPr="00CD459E">
        <w:t>consider class</w:t>
      </w:r>
      <w:r w:rsidR="004C283C" w:rsidRPr="00CD459E">
        <w:t>-</w:t>
      </w:r>
      <w:r w:rsidR="00B830D0" w:rsidRPr="00CD459E">
        <w:t xml:space="preserve">licensing arrangements </w:t>
      </w:r>
      <w:r w:rsidR="008F512F" w:rsidRPr="00CD459E">
        <w:t xml:space="preserve">similar to those of the </w:t>
      </w:r>
      <w:r w:rsidR="00CD459E">
        <w:t>US</w:t>
      </w:r>
      <w:r w:rsidR="008F512F" w:rsidRPr="00CD459E">
        <w:t xml:space="preserve"> FCC</w:t>
      </w:r>
      <w:r w:rsidR="00AB4E9B">
        <w:t xml:space="preserve"> </w:t>
      </w:r>
      <w:r w:rsidR="00B830D0">
        <w:t>in the frequency range 64–71 GHz to provide further options for data communications intended to support future 5G services.</w:t>
      </w:r>
      <w:r w:rsidR="00447762">
        <w:t xml:space="preserve"> </w:t>
      </w:r>
    </w:p>
    <w:p w14:paraId="4F1A744B" w14:textId="77777777" w:rsidR="00AC2377" w:rsidRDefault="00AC2377" w:rsidP="005759E7">
      <w:pPr>
        <w:pStyle w:val="BodySubHeader"/>
      </w:pPr>
      <w:r>
        <w:t xml:space="preserve">Progress achieved </w:t>
      </w:r>
    </w:p>
    <w:p w14:paraId="44EC53D0" w14:textId="0FDB4F30" w:rsidR="00B830D0" w:rsidRDefault="0022429D">
      <w:r>
        <w:t xml:space="preserve">Following consideration of issues </w:t>
      </w:r>
      <w:r w:rsidR="00E94117">
        <w:t>raised</w:t>
      </w:r>
      <w:r>
        <w:t xml:space="preserve"> in submissions</w:t>
      </w:r>
      <w:r w:rsidR="00D70C57">
        <w:t>,</w:t>
      </w:r>
      <w:r>
        <w:t xml:space="preserve"> on 21 June 2018</w:t>
      </w:r>
      <w:r w:rsidR="0080400A">
        <w:t>,</w:t>
      </w:r>
      <w:r>
        <w:t xml:space="preserve"> the ACMA updated the LIPD</w:t>
      </w:r>
      <w:r w:rsidR="003E7566">
        <w:t xml:space="preserve"> </w:t>
      </w:r>
      <w:r w:rsidR="003E7566" w:rsidRPr="00991CD9">
        <w:t>to include new arrangements in the frequency ranges 122</w:t>
      </w:r>
      <w:r w:rsidR="0080400A">
        <w:t>–</w:t>
      </w:r>
      <w:r w:rsidR="003E7566" w:rsidRPr="00991CD9">
        <w:t>122.25 GHz to align with European arrangements, 430</w:t>
      </w:r>
      <w:r w:rsidR="0080400A">
        <w:t>–</w:t>
      </w:r>
      <w:r w:rsidR="003E7566" w:rsidRPr="00991CD9">
        <w:t>440 MHz for medical endoscopy capsules to align with overseas arrangements, 2483.5</w:t>
      </w:r>
      <w:r w:rsidR="0080400A">
        <w:t>–</w:t>
      </w:r>
      <w:r w:rsidR="003E7566" w:rsidRPr="00991CD9">
        <w:t>2500 MHz for medical body area networks and low-power active medical implants, and revision of existing arrangements for digital modulation transmitters in the 57</w:t>
      </w:r>
      <w:r w:rsidR="0080400A">
        <w:t>–</w:t>
      </w:r>
      <w:r w:rsidR="003E7566" w:rsidRPr="00991CD9">
        <w:t xml:space="preserve">66 GHz band to better align with changes to similar arrangements of the US </w:t>
      </w:r>
      <w:r w:rsidR="003E7566" w:rsidRPr="0080400A">
        <w:t>FCC</w:t>
      </w:r>
      <w:r w:rsidR="003E7566" w:rsidRPr="001A6E38">
        <w:t>.</w:t>
      </w:r>
      <w:r w:rsidR="001A6E38">
        <w:t xml:space="preserve"> </w:t>
      </w:r>
      <w:r>
        <w:t>The AC</w:t>
      </w:r>
      <w:r w:rsidR="00E94117">
        <w:t xml:space="preserve">MA is now </w:t>
      </w:r>
      <w:r w:rsidR="00E94117">
        <w:lastRenderedPageBreak/>
        <w:t xml:space="preserve">consulting on </w:t>
      </w:r>
      <w:r>
        <w:t xml:space="preserve">related </w:t>
      </w:r>
      <w:r w:rsidR="00E94117">
        <w:t>standards</w:t>
      </w:r>
      <w:r>
        <w:t xml:space="preserve"> matters (</w:t>
      </w:r>
      <w:r w:rsidR="00E94117" w:rsidRPr="00E94117">
        <w:t xml:space="preserve">refer to </w:t>
      </w:r>
      <w:hyperlink r:id="rId49" w:history="1">
        <w:r w:rsidR="00E94117" w:rsidRPr="00E94117">
          <w:rPr>
            <w:rStyle w:val="Hyperlink"/>
          </w:rPr>
          <w:t>IFC 25/2018</w:t>
        </w:r>
      </w:hyperlink>
      <w:r w:rsidR="00E94117">
        <w:t>) and expects to finalise those consultations by Q2 2018</w:t>
      </w:r>
      <w:r w:rsidR="00063F57">
        <w:t>–</w:t>
      </w:r>
      <w:r w:rsidR="00E94117">
        <w:t>19</w:t>
      </w:r>
      <w:r w:rsidR="00B830D0">
        <w:t>.</w:t>
      </w:r>
    </w:p>
    <w:p w14:paraId="395821FD" w14:textId="77777777" w:rsidR="00B830D0" w:rsidRDefault="00B830D0" w:rsidP="00344590">
      <w:pPr>
        <w:pStyle w:val="BodySubHeader"/>
      </w:pPr>
      <w:r>
        <w:t>Activities planned for 2018</w:t>
      </w:r>
      <w:r w:rsidR="00727DD8">
        <w:t>–</w:t>
      </w:r>
      <w:r>
        <w:t xml:space="preserve">19 </w:t>
      </w:r>
    </w:p>
    <w:p w14:paraId="051CAF12" w14:textId="77777777" w:rsidR="000B6880" w:rsidRDefault="00B830D0" w:rsidP="0080400A">
      <w:r w:rsidRPr="00FD4AB9">
        <w:t xml:space="preserve">Organisations interested in further updates to the LIPD class licence should contact the ACMA to discuss the requirements and timing of such updates. </w:t>
      </w:r>
    </w:p>
    <w:p w14:paraId="3874F5F2" w14:textId="77777777" w:rsidR="000B6880" w:rsidRPr="000B6880" w:rsidRDefault="000B6880" w:rsidP="000B6880">
      <w:pPr>
        <w:spacing w:after="80"/>
        <w:rPr>
          <w:rFonts w:cs="Arial"/>
          <w:szCs w:val="20"/>
        </w:rPr>
      </w:pPr>
      <w:r w:rsidRPr="000B6880">
        <w:rPr>
          <w:rFonts w:cs="Arial"/>
          <w:szCs w:val="20"/>
        </w:rPr>
        <w:t xml:space="preserve">As noted in the </w:t>
      </w:r>
      <w:hyperlink r:id="rId50" w:history="1">
        <w:r w:rsidRPr="000B6880">
          <w:rPr>
            <w:rStyle w:val="Hyperlink"/>
            <w:rFonts w:cs="Arial"/>
            <w:i/>
            <w:iCs/>
            <w:szCs w:val="20"/>
          </w:rPr>
          <w:t>Response to submissions</w:t>
        </w:r>
      </w:hyperlink>
      <w:r w:rsidRPr="000B6880">
        <w:rPr>
          <w:rFonts w:cs="Arial"/>
          <w:szCs w:val="20"/>
        </w:rPr>
        <w:t xml:space="preserve"> pape</w:t>
      </w:r>
      <w:r>
        <w:rPr>
          <w:rFonts w:cs="Arial"/>
          <w:szCs w:val="20"/>
        </w:rPr>
        <w:t>r to the June 2018 LIPD update,</w:t>
      </w:r>
      <w:r w:rsidRPr="000B6880">
        <w:rPr>
          <w:rFonts w:cs="Arial"/>
          <w:szCs w:val="20"/>
        </w:rPr>
        <w:t xml:space="preserve"> there is significant</w:t>
      </w:r>
      <w:r w:rsidR="00457502">
        <w:rPr>
          <w:rFonts w:cs="Arial"/>
          <w:szCs w:val="20"/>
        </w:rPr>
        <w:t xml:space="preserve"> Australian</w:t>
      </w:r>
      <w:r w:rsidRPr="000B6880">
        <w:rPr>
          <w:rFonts w:cs="Arial"/>
          <w:szCs w:val="20"/>
        </w:rPr>
        <w:t xml:space="preserve"> industry interest in the ACMA progressing consideration of arrangements similar to those of the </w:t>
      </w:r>
      <w:r w:rsidR="006D72FA" w:rsidRPr="000B6880">
        <w:rPr>
          <w:rFonts w:cs="Arial"/>
          <w:szCs w:val="20"/>
        </w:rPr>
        <w:t>FCC</w:t>
      </w:r>
      <w:r w:rsidR="00CE5C85">
        <w:rPr>
          <w:rFonts w:cs="Arial"/>
          <w:szCs w:val="20"/>
        </w:rPr>
        <w:t xml:space="preserve"> </w:t>
      </w:r>
      <w:r w:rsidRPr="000B6880">
        <w:rPr>
          <w:rFonts w:cs="Arial"/>
          <w:szCs w:val="20"/>
        </w:rPr>
        <w:t xml:space="preserve">in the frequency range 64–71 GHz. The ACMA will continue this work with a view </w:t>
      </w:r>
      <w:r w:rsidR="005975E4">
        <w:rPr>
          <w:rFonts w:cs="Arial"/>
          <w:szCs w:val="20"/>
        </w:rPr>
        <w:t>to</w:t>
      </w:r>
      <w:r w:rsidRPr="000B6880">
        <w:rPr>
          <w:rFonts w:cs="Arial"/>
          <w:szCs w:val="20"/>
        </w:rPr>
        <w:t xml:space="preserve"> developing </w:t>
      </w:r>
      <w:r w:rsidR="005975E4">
        <w:rPr>
          <w:rFonts w:cs="Arial"/>
          <w:szCs w:val="20"/>
        </w:rPr>
        <w:t xml:space="preserve">a </w:t>
      </w:r>
      <w:r w:rsidRPr="000B6880">
        <w:rPr>
          <w:rFonts w:cs="Arial"/>
          <w:szCs w:val="20"/>
        </w:rPr>
        <w:t>proposed update to the LIPD for consultation in Q2 2018</w:t>
      </w:r>
      <w:r w:rsidR="00C80011">
        <w:rPr>
          <w:rFonts w:cs="Arial"/>
          <w:szCs w:val="20"/>
        </w:rPr>
        <w:t>–</w:t>
      </w:r>
      <w:r w:rsidRPr="000B6880">
        <w:rPr>
          <w:rFonts w:cs="Arial"/>
          <w:szCs w:val="20"/>
        </w:rPr>
        <w:t xml:space="preserve">19. This work will also consider whether changes are required to arrangements for </w:t>
      </w:r>
      <w:r w:rsidR="00457502" w:rsidRPr="00E53CF1">
        <w:rPr>
          <w:rFonts w:cs="Arial"/>
          <w:szCs w:val="20"/>
        </w:rPr>
        <w:t>mmW</w:t>
      </w:r>
      <w:r w:rsidRPr="00E53CF1">
        <w:rPr>
          <w:rFonts w:cs="Arial"/>
          <w:szCs w:val="20"/>
        </w:rPr>
        <w:t>ave</w:t>
      </w:r>
      <w:r w:rsidRPr="000B6880">
        <w:rPr>
          <w:rFonts w:cs="Arial"/>
          <w:szCs w:val="20"/>
        </w:rPr>
        <w:t xml:space="preserve"> point</w:t>
      </w:r>
      <w:r w:rsidR="00457502">
        <w:rPr>
          <w:rFonts w:cs="Arial"/>
          <w:szCs w:val="20"/>
        </w:rPr>
        <w:t>-</w:t>
      </w:r>
      <w:r w:rsidRPr="000B6880">
        <w:rPr>
          <w:rFonts w:cs="Arial"/>
          <w:szCs w:val="20"/>
        </w:rPr>
        <w:t>to</w:t>
      </w:r>
      <w:r w:rsidR="00457502">
        <w:rPr>
          <w:rFonts w:cs="Arial"/>
          <w:szCs w:val="20"/>
        </w:rPr>
        <w:t>-</w:t>
      </w:r>
      <w:r w:rsidRPr="000B6880">
        <w:rPr>
          <w:rFonts w:cs="Arial"/>
          <w:szCs w:val="20"/>
        </w:rPr>
        <w:t>point (self-coordinated) stations</w:t>
      </w:r>
      <w:r>
        <w:rPr>
          <w:rStyle w:val="FootnoteReference"/>
          <w:rFonts w:cs="Arial"/>
          <w:szCs w:val="20"/>
        </w:rPr>
        <w:footnoteReference w:id="36"/>
      </w:r>
      <w:r w:rsidRPr="000B6880">
        <w:rPr>
          <w:rFonts w:cs="Arial"/>
          <w:szCs w:val="20"/>
        </w:rPr>
        <w:t xml:space="preserve"> ope</w:t>
      </w:r>
      <w:r>
        <w:rPr>
          <w:rFonts w:cs="Arial"/>
          <w:szCs w:val="20"/>
        </w:rPr>
        <w:t xml:space="preserve">rating in the </w:t>
      </w:r>
      <w:r w:rsidRPr="000B6880">
        <w:rPr>
          <w:rFonts w:cs="Arial"/>
          <w:szCs w:val="20"/>
        </w:rPr>
        <w:t>frequency range 57</w:t>
      </w:r>
      <w:r w:rsidR="00457502">
        <w:rPr>
          <w:rFonts w:cs="Arial"/>
          <w:szCs w:val="20"/>
        </w:rPr>
        <w:t>–</w:t>
      </w:r>
      <w:r w:rsidRPr="000B6880">
        <w:rPr>
          <w:rFonts w:cs="Arial"/>
          <w:szCs w:val="20"/>
        </w:rPr>
        <w:t>59 GHz and possible changes to LIPD class licence item 64 (Data communications transmitters used outdoors, 59</w:t>
      </w:r>
      <w:r w:rsidR="00457502">
        <w:rPr>
          <w:rFonts w:cs="Arial"/>
          <w:szCs w:val="20"/>
        </w:rPr>
        <w:t>–</w:t>
      </w:r>
      <w:r w:rsidRPr="000B6880">
        <w:rPr>
          <w:rFonts w:cs="Arial"/>
          <w:szCs w:val="20"/>
        </w:rPr>
        <w:t>63 GHz) and item 65 (Data communications transmitters, 57</w:t>
      </w:r>
      <w:r w:rsidR="00457502">
        <w:rPr>
          <w:rFonts w:cs="Arial"/>
          <w:szCs w:val="20"/>
        </w:rPr>
        <w:t>–</w:t>
      </w:r>
      <w:r w:rsidRPr="000B6880">
        <w:rPr>
          <w:rFonts w:cs="Arial"/>
          <w:szCs w:val="20"/>
        </w:rPr>
        <w:t xml:space="preserve">66 GHz). The ACMA also intends to develop proposed updates for consultation </w:t>
      </w:r>
      <w:r>
        <w:rPr>
          <w:rFonts w:cs="Arial"/>
          <w:szCs w:val="20"/>
        </w:rPr>
        <w:t>on</w:t>
      </w:r>
      <w:r w:rsidRPr="000B6880">
        <w:rPr>
          <w:rFonts w:cs="Arial"/>
          <w:szCs w:val="20"/>
        </w:rPr>
        <w:t>:</w:t>
      </w:r>
    </w:p>
    <w:p w14:paraId="7A0C056D" w14:textId="77777777" w:rsidR="000B6880" w:rsidRDefault="00457502" w:rsidP="00D15CCF">
      <w:pPr>
        <w:numPr>
          <w:ilvl w:val="0"/>
          <w:numId w:val="78"/>
        </w:numPr>
        <w:spacing w:after="90"/>
        <w:rPr>
          <w:rFonts w:cs="Arial"/>
          <w:szCs w:val="20"/>
        </w:rPr>
      </w:pPr>
      <w:r>
        <w:rPr>
          <w:rFonts w:cs="Arial"/>
          <w:szCs w:val="20"/>
        </w:rPr>
        <w:t>a</w:t>
      </w:r>
      <w:r w:rsidR="000B6880" w:rsidRPr="000B6880">
        <w:rPr>
          <w:rFonts w:cs="Arial"/>
          <w:szCs w:val="20"/>
        </w:rPr>
        <w:t>ll transmitters with maximum EIRP of 100 mW in the 57</w:t>
      </w:r>
      <w:r>
        <w:rPr>
          <w:rFonts w:cs="Arial"/>
          <w:szCs w:val="20"/>
        </w:rPr>
        <w:t>–</w:t>
      </w:r>
      <w:r w:rsidR="000B6880" w:rsidRPr="000B6880">
        <w:rPr>
          <w:rFonts w:cs="Arial"/>
          <w:szCs w:val="20"/>
        </w:rPr>
        <w:t xml:space="preserve">64 GHz band, similar to arrangements contained in Annex 1 of </w:t>
      </w:r>
      <w:r w:rsidR="00445302">
        <w:rPr>
          <w:rFonts w:cs="Arial"/>
          <w:szCs w:val="20"/>
        </w:rPr>
        <w:t>ERC</w:t>
      </w:r>
      <w:r w:rsidR="00E131EB">
        <w:rPr>
          <w:rStyle w:val="FootnoteReference"/>
          <w:rFonts w:cs="Arial"/>
          <w:szCs w:val="20"/>
        </w:rPr>
        <w:footnoteReference w:id="37"/>
      </w:r>
      <w:r w:rsidR="000B6880" w:rsidRPr="000B6880">
        <w:rPr>
          <w:rFonts w:cs="Arial"/>
          <w:szCs w:val="20"/>
        </w:rPr>
        <w:t xml:space="preserve"> Recommendation 70</w:t>
      </w:r>
      <w:r>
        <w:rPr>
          <w:rFonts w:cs="Arial"/>
          <w:szCs w:val="20"/>
        </w:rPr>
        <w:t>–</w:t>
      </w:r>
      <w:r w:rsidR="000B6880" w:rsidRPr="000B6880">
        <w:rPr>
          <w:rFonts w:cs="Arial"/>
          <w:szCs w:val="20"/>
        </w:rPr>
        <w:t>03, May 2018</w:t>
      </w:r>
    </w:p>
    <w:p w14:paraId="3A390F7F" w14:textId="77777777" w:rsidR="000B6880" w:rsidRPr="00551873" w:rsidRDefault="000B6880" w:rsidP="00D15CCF">
      <w:pPr>
        <w:pStyle w:val="ListBullet"/>
        <w:numPr>
          <w:ilvl w:val="0"/>
          <w:numId w:val="78"/>
        </w:numPr>
        <w:spacing w:after="90"/>
      </w:pPr>
      <w:r>
        <w:t>r</w:t>
      </w:r>
      <w:r w:rsidRPr="00FC1F4D">
        <w:t>evising existing arrangement</w:t>
      </w:r>
      <w:r>
        <w:t>s</w:t>
      </w:r>
      <w:r w:rsidRPr="00FC1F4D">
        <w:t xml:space="preserve"> for underground transmitters in the frequency ranges covering the VHF </w:t>
      </w:r>
      <w:r>
        <w:t>m</w:t>
      </w:r>
      <w:r w:rsidRPr="00FC1F4D">
        <w:t>id</w:t>
      </w:r>
      <w:r>
        <w:t>-</w:t>
      </w:r>
      <w:r w:rsidRPr="00FC1F4D">
        <w:t xml:space="preserve"> and </w:t>
      </w:r>
      <w:r>
        <w:t>h</w:t>
      </w:r>
      <w:r w:rsidRPr="00FC1F4D">
        <w:t>igh</w:t>
      </w:r>
      <w:r>
        <w:t>-</w:t>
      </w:r>
      <w:r w:rsidRPr="00FC1F4D">
        <w:t xml:space="preserve">frequency </w:t>
      </w:r>
      <w:r>
        <w:t>b</w:t>
      </w:r>
      <w:r w:rsidRPr="00FC1F4D">
        <w:t>ands and the 400 MHz band to include segments supporting fixed services</w:t>
      </w:r>
      <w:r>
        <w:t>,</w:t>
      </w:r>
      <w:r w:rsidRPr="00FC1F4D">
        <w:t xml:space="preserve"> in addition to mobile services (as under current arrangements) and spectrum cover</w:t>
      </w:r>
      <w:r w:rsidR="006D72FA">
        <w:t>ed</w:t>
      </w:r>
      <w:r w:rsidRPr="00FC1F4D">
        <w:t xml:space="preserve"> by ARSP footnote AUS 91 (420</w:t>
      </w:r>
      <w:r>
        <w:t>–</w:t>
      </w:r>
      <w:r w:rsidRPr="00FC1F4D">
        <w:t>430 MHz)</w:t>
      </w:r>
    </w:p>
    <w:p w14:paraId="3A14605E" w14:textId="77777777" w:rsidR="000B6880" w:rsidRPr="000B6880" w:rsidRDefault="00457502" w:rsidP="001B1B7A">
      <w:pPr>
        <w:pStyle w:val="ListBulletLast"/>
      </w:pPr>
      <w:r>
        <w:t>c</w:t>
      </w:r>
      <w:r w:rsidR="000B6880" w:rsidRPr="000B6880">
        <w:t xml:space="preserve">hanges to arrangements for </w:t>
      </w:r>
      <w:r w:rsidR="000B6880">
        <w:t xml:space="preserve">LIPD class licence item 64 </w:t>
      </w:r>
      <w:r w:rsidR="000B6880" w:rsidRPr="000B6880">
        <w:t>Radiodetermination transmitters operating in the 76</w:t>
      </w:r>
      <w:r>
        <w:t>–</w:t>
      </w:r>
      <w:r w:rsidR="000B6880" w:rsidRPr="000B6880">
        <w:t>77 GHz band to increased maximum EIRP from 25 W to 25 dBW (316 W) similar to arrangements contained in Annex 4 of ERC Recommendation 70</w:t>
      </w:r>
      <w:r>
        <w:t>–</w:t>
      </w:r>
      <w:r w:rsidR="000B6880" w:rsidRPr="000B6880">
        <w:t xml:space="preserve">03 and the </w:t>
      </w:r>
      <w:r w:rsidR="006D72FA">
        <w:t xml:space="preserve">FCC </w:t>
      </w:r>
      <w:r w:rsidR="000B6880" w:rsidRPr="000B6880">
        <w:t>under the FCC Title 47 Part 95 Subpart M.</w:t>
      </w:r>
    </w:p>
    <w:p w14:paraId="3AC1B8D6" w14:textId="77777777" w:rsidR="000B6880" w:rsidRPr="000B6880" w:rsidRDefault="000B6880" w:rsidP="000B6880">
      <w:pPr>
        <w:spacing w:after="80"/>
        <w:rPr>
          <w:rFonts w:cs="Arial"/>
          <w:szCs w:val="20"/>
        </w:rPr>
      </w:pPr>
      <w:r w:rsidRPr="000B6880">
        <w:rPr>
          <w:rFonts w:cs="Arial"/>
          <w:szCs w:val="20"/>
        </w:rPr>
        <w:t>The ACMA</w:t>
      </w:r>
      <w:r w:rsidR="00F00490">
        <w:rPr>
          <w:rFonts w:cs="Arial"/>
          <w:szCs w:val="20"/>
        </w:rPr>
        <w:t xml:space="preserve"> has identified a further group of items for consideration for inclusion in a future LIPD.</w:t>
      </w:r>
      <w:r w:rsidRPr="000B6880">
        <w:rPr>
          <w:rFonts w:cs="Arial"/>
          <w:szCs w:val="20"/>
        </w:rPr>
        <w:t xml:space="preserve"> </w:t>
      </w:r>
      <w:r w:rsidR="00E43978">
        <w:rPr>
          <w:rFonts w:cs="Arial"/>
          <w:szCs w:val="20"/>
        </w:rPr>
        <w:t xml:space="preserve">To the extent other priorities permit, </w:t>
      </w:r>
      <w:r w:rsidRPr="000B6880">
        <w:rPr>
          <w:rFonts w:cs="Arial"/>
          <w:szCs w:val="20"/>
        </w:rPr>
        <w:t xml:space="preserve">proposals </w:t>
      </w:r>
      <w:r w:rsidR="00F00490">
        <w:rPr>
          <w:rFonts w:cs="Arial"/>
          <w:szCs w:val="20"/>
        </w:rPr>
        <w:t>will be</w:t>
      </w:r>
      <w:r w:rsidRPr="000B6880">
        <w:rPr>
          <w:rFonts w:cs="Arial"/>
          <w:szCs w:val="20"/>
        </w:rPr>
        <w:t xml:space="preserve"> developed in time for the Q2 2018</w:t>
      </w:r>
      <w:r w:rsidR="00457502">
        <w:rPr>
          <w:rFonts w:cs="Arial"/>
          <w:szCs w:val="20"/>
        </w:rPr>
        <w:t>–</w:t>
      </w:r>
      <w:r w:rsidRPr="000B6880">
        <w:rPr>
          <w:rFonts w:cs="Arial"/>
          <w:szCs w:val="20"/>
        </w:rPr>
        <w:t xml:space="preserve">19 consultation, otherwise they will be deferred until </w:t>
      </w:r>
      <w:r w:rsidR="00F00490">
        <w:rPr>
          <w:rFonts w:cs="Arial"/>
          <w:szCs w:val="20"/>
        </w:rPr>
        <w:t>a</w:t>
      </w:r>
      <w:r w:rsidRPr="000B6880">
        <w:rPr>
          <w:rFonts w:cs="Arial"/>
          <w:szCs w:val="20"/>
        </w:rPr>
        <w:t xml:space="preserve"> later LIPD update</w:t>
      </w:r>
      <w:r w:rsidR="00457502">
        <w:rPr>
          <w:rFonts w:cs="Arial"/>
          <w:szCs w:val="20"/>
        </w:rPr>
        <w:t>,</w:t>
      </w:r>
      <w:r w:rsidRPr="000B6880">
        <w:rPr>
          <w:rFonts w:cs="Arial"/>
          <w:szCs w:val="20"/>
        </w:rPr>
        <w:t xml:space="preserve"> along with any additional suggestions </w:t>
      </w:r>
      <w:r w:rsidR="00F00490">
        <w:rPr>
          <w:rFonts w:cs="Arial"/>
          <w:szCs w:val="20"/>
        </w:rPr>
        <w:t>from</w:t>
      </w:r>
      <w:r w:rsidRPr="000B6880">
        <w:rPr>
          <w:rFonts w:cs="Arial"/>
          <w:szCs w:val="20"/>
        </w:rPr>
        <w:t xml:space="preserve"> industry. These items are:</w:t>
      </w:r>
    </w:p>
    <w:p w14:paraId="34DCB68B" w14:textId="77777777" w:rsidR="000B6880" w:rsidRPr="00551873" w:rsidRDefault="000B6880" w:rsidP="000B6880">
      <w:pPr>
        <w:pStyle w:val="ListBullet"/>
        <w:numPr>
          <w:ilvl w:val="0"/>
          <w:numId w:val="1"/>
        </w:numPr>
      </w:pPr>
      <w:r>
        <w:t>i</w:t>
      </w:r>
      <w:r w:rsidRPr="00FC1F4D">
        <w:t>ntroducing provisions supporting ground penetrating radar</w:t>
      </w:r>
      <w:r>
        <w:t>s</w:t>
      </w:r>
      <w:r w:rsidRPr="00FC1F4D">
        <w:t xml:space="preserve"> similar to FCC Rules Part 15.509 </w:t>
      </w:r>
      <w:r>
        <w:t>‘</w:t>
      </w:r>
      <w:r w:rsidRPr="00FC1F4D">
        <w:t>Technical requirements for ground penetrating radars and wall imaging systems</w:t>
      </w:r>
      <w:r>
        <w:t>’</w:t>
      </w:r>
    </w:p>
    <w:p w14:paraId="1253D34E" w14:textId="77777777" w:rsidR="000B6880" w:rsidRPr="00551873" w:rsidRDefault="000B6880" w:rsidP="00D15CCF">
      <w:pPr>
        <w:pStyle w:val="ListBullet"/>
        <w:numPr>
          <w:ilvl w:val="0"/>
          <w:numId w:val="1"/>
        </w:numPr>
        <w:spacing w:after="90"/>
        <w:ind w:left="300" w:hanging="300"/>
      </w:pPr>
      <w:r>
        <w:t>g</w:t>
      </w:r>
      <w:r w:rsidRPr="00FC1F4D">
        <w:t>ener</w:t>
      </w:r>
      <w:r>
        <w:t>al</w:t>
      </w:r>
      <w:r w:rsidRPr="00FC1F4D">
        <w:t xml:space="preserve"> provision for very low</w:t>
      </w:r>
      <w:r>
        <w:t>-</w:t>
      </w:r>
      <w:r w:rsidRPr="00FC1F4D">
        <w:t xml:space="preserve">powered devices similar to FCC Rules Part 15.209 </w:t>
      </w:r>
      <w:r>
        <w:t>‘</w:t>
      </w:r>
      <w:r w:rsidRPr="00FC1F4D">
        <w:t>Radiated emission limits; general requirements</w:t>
      </w:r>
      <w:r>
        <w:t>’</w:t>
      </w:r>
      <w:r w:rsidRPr="00FC1F4D">
        <w:t>, in consideration of the FCC requirements on restricted bands of operation</w:t>
      </w:r>
    </w:p>
    <w:p w14:paraId="34DE24E3" w14:textId="77777777" w:rsidR="000B6880" w:rsidRDefault="000B6880" w:rsidP="000B6880">
      <w:pPr>
        <w:pStyle w:val="ListBulletLast"/>
        <w:numPr>
          <w:ilvl w:val="0"/>
          <w:numId w:val="1"/>
        </w:numPr>
      </w:pPr>
      <w:r>
        <w:t>f</w:t>
      </w:r>
      <w:r w:rsidRPr="00FC1F4D">
        <w:t xml:space="preserve">urther alignment of Australian arrangements for </w:t>
      </w:r>
      <w:r>
        <w:t>u</w:t>
      </w:r>
      <w:r w:rsidRPr="00CD459E">
        <w:t>ltra-wideband</w:t>
      </w:r>
      <w:r w:rsidRPr="00FC1F4D">
        <w:t xml:space="preserve"> systems with US and European arrangements.</w:t>
      </w:r>
    </w:p>
    <w:p w14:paraId="4939F23B" w14:textId="77777777" w:rsidR="00B830D0" w:rsidRPr="0027128C" w:rsidDel="007E55F4" w:rsidRDefault="00B830D0" w:rsidP="00F74E38">
      <w:pPr>
        <w:pStyle w:val="Heading3"/>
        <w:keepLines/>
      </w:pPr>
      <w:bookmarkStart w:id="266" w:name="_Toc510795084"/>
      <w:bookmarkStart w:id="267" w:name="_Toc511716287"/>
      <w:bookmarkStart w:id="268" w:name="_Toc511719098"/>
      <w:bookmarkStart w:id="269" w:name="_Toc522794093"/>
      <w:bookmarkStart w:id="270" w:name="_Toc524517099"/>
      <w:r w:rsidRPr="0027128C" w:rsidDel="007E55F4">
        <w:lastRenderedPageBreak/>
        <w:t>Amateur radio</w:t>
      </w:r>
      <w:bookmarkEnd w:id="266"/>
      <w:bookmarkEnd w:id="267"/>
      <w:bookmarkEnd w:id="268"/>
      <w:bookmarkEnd w:id="269"/>
      <w:bookmarkEnd w:id="270"/>
    </w:p>
    <w:p w14:paraId="4F0E8C23" w14:textId="77777777" w:rsidR="00AC2377" w:rsidDel="007E55F4" w:rsidRDefault="00AC2377" w:rsidP="00F74E38">
      <w:pPr>
        <w:pStyle w:val="BodySubHeader"/>
        <w:keepNext/>
        <w:keepLines/>
      </w:pPr>
      <w:r w:rsidDel="007E55F4">
        <w:t xml:space="preserve">Progress achieved </w:t>
      </w:r>
    </w:p>
    <w:p w14:paraId="7C22F839" w14:textId="77777777" w:rsidR="00B830D0" w:rsidRPr="0027128C" w:rsidDel="007E55F4" w:rsidRDefault="00B830D0" w:rsidP="00F74E38">
      <w:pPr>
        <w:keepNext/>
        <w:keepLines/>
        <w:spacing w:after="80"/>
      </w:pPr>
      <w:r w:rsidRPr="0027128C" w:rsidDel="007E55F4">
        <w:t xml:space="preserve">Feedback from last year’s FYSO included suggestions proposing a number of additional frequency bands </w:t>
      </w:r>
      <w:r w:rsidR="00235261" w:rsidRPr="0027128C" w:rsidDel="007E55F4">
        <w:t xml:space="preserve">to </w:t>
      </w:r>
      <w:r w:rsidRPr="0027128C" w:rsidDel="007E55F4">
        <w:t>be made available for amateur use</w:t>
      </w:r>
      <w:r w:rsidR="00727DD8" w:rsidDel="007E55F4">
        <w:t>,</w:t>
      </w:r>
      <w:r w:rsidRPr="0027128C" w:rsidDel="007E55F4">
        <w:t xml:space="preserve"> or </w:t>
      </w:r>
      <w:r w:rsidR="004C0225" w:rsidDel="007E55F4">
        <w:t>identifying where the</w:t>
      </w:r>
      <w:r w:rsidRPr="0027128C" w:rsidDel="007E55F4">
        <w:t xml:space="preserve"> allocation status in the </w:t>
      </w:r>
      <w:r w:rsidRPr="00CD459E" w:rsidDel="007E55F4">
        <w:t>Australian Radiofrequency Spectrum Plan</w:t>
      </w:r>
      <w:r w:rsidRPr="0027128C" w:rsidDel="007E55F4">
        <w:t xml:space="preserve"> changed. In </w:t>
      </w:r>
      <w:r w:rsidR="00727DD8" w:rsidDel="007E55F4">
        <w:t>response</w:t>
      </w:r>
      <w:r w:rsidR="00727DD8" w:rsidRPr="0027128C" w:rsidDel="007E55F4">
        <w:t xml:space="preserve"> </w:t>
      </w:r>
      <w:r w:rsidRPr="0027128C" w:rsidDel="007E55F4">
        <w:t xml:space="preserve">to those requests: </w:t>
      </w:r>
    </w:p>
    <w:p w14:paraId="649996EB" w14:textId="77777777" w:rsidR="00B830D0" w:rsidRPr="0027128C" w:rsidDel="007E55F4" w:rsidRDefault="00B830D0" w:rsidP="00F74E38">
      <w:pPr>
        <w:pStyle w:val="ListBullet"/>
        <w:keepNext/>
        <w:keepLines/>
      </w:pPr>
      <w:r w:rsidRPr="001B1B7A" w:rsidDel="007E55F4">
        <w:rPr>
          <w:b/>
        </w:rPr>
        <w:t>70.0</w:t>
      </w:r>
      <w:r w:rsidR="00727DD8" w:rsidRPr="001B1B7A" w:rsidDel="007E55F4">
        <w:rPr>
          <w:b/>
        </w:rPr>
        <w:t>–</w:t>
      </w:r>
      <w:r w:rsidRPr="001B1B7A" w:rsidDel="007E55F4">
        <w:rPr>
          <w:b/>
        </w:rPr>
        <w:t>70.5 MHz</w:t>
      </w:r>
      <w:r w:rsidR="00727DD8" w:rsidDel="007E55F4">
        <w:t>—</w:t>
      </w:r>
      <w:r w:rsidRPr="0027128C" w:rsidDel="007E55F4">
        <w:t>The ACMA considers that operating amateur services in this frequency range is not feasible</w:t>
      </w:r>
      <w:r w:rsidR="00727DD8" w:rsidDel="007E55F4">
        <w:t xml:space="preserve"> as</w:t>
      </w:r>
      <w:r w:rsidR="00727DD8" w:rsidRPr="0027128C" w:rsidDel="007E55F4">
        <w:t xml:space="preserve"> </w:t>
      </w:r>
      <w:r w:rsidR="00727DD8" w:rsidDel="007E55F4">
        <w:t>i</w:t>
      </w:r>
      <w:r w:rsidRPr="0027128C" w:rsidDel="007E55F4">
        <w:t xml:space="preserve">t would be inconsistent </w:t>
      </w:r>
      <w:r w:rsidR="00235261" w:rsidRPr="0027128C" w:rsidDel="007E55F4">
        <w:t xml:space="preserve">with </w:t>
      </w:r>
      <w:r w:rsidRPr="00C62009" w:rsidDel="007E55F4">
        <w:t xml:space="preserve">ITU </w:t>
      </w:r>
      <w:r w:rsidRPr="00C62009">
        <w:t>Radio Regulation</w:t>
      </w:r>
      <w:r w:rsidRPr="00C62009" w:rsidDel="007E55F4">
        <w:t>s</w:t>
      </w:r>
      <w:r w:rsidRPr="0027128C" w:rsidDel="007E55F4">
        <w:t xml:space="preserve"> and existing services already </w:t>
      </w:r>
      <w:r w:rsidR="00727DD8" w:rsidRPr="0027128C" w:rsidDel="007E55F4">
        <w:t>operat</w:t>
      </w:r>
      <w:r w:rsidR="00727DD8" w:rsidDel="007E55F4">
        <w:t>ing</w:t>
      </w:r>
      <w:r w:rsidR="00727DD8" w:rsidRPr="0027128C" w:rsidDel="007E55F4">
        <w:t xml:space="preserve"> </w:t>
      </w:r>
      <w:r w:rsidRPr="0027128C" w:rsidDel="007E55F4">
        <w:t xml:space="preserve">in the frequency range. This frequency </w:t>
      </w:r>
      <w:r w:rsidR="00235261" w:rsidRPr="0027128C" w:rsidDel="007E55F4">
        <w:t xml:space="preserve">range </w:t>
      </w:r>
      <w:r w:rsidRPr="0027128C" w:rsidDel="007E55F4">
        <w:t xml:space="preserve">is used by a variety of fixed and land mobile services as supported under the VHF </w:t>
      </w:r>
      <w:r w:rsidR="00727DD8" w:rsidDel="007E55F4">
        <w:t>m</w:t>
      </w:r>
      <w:r w:rsidRPr="0027128C" w:rsidDel="007E55F4">
        <w:t>id band (70</w:t>
      </w:r>
      <w:r w:rsidR="00727DD8" w:rsidDel="007E55F4">
        <w:t>–</w:t>
      </w:r>
      <w:r w:rsidRPr="0027128C" w:rsidDel="007E55F4">
        <w:t>87.5 MHz). Class</w:t>
      </w:r>
      <w:r w:rsidR="00727DD8" w:rsidDel="007E55F4">
        <w:t>-</w:t>
      </w:r>
      <w:r w:rsidRPr="0027128C" w:rsidDel="007E55F4">
        <w:t>licensed devices authorised under the LIPD Class Licence operate in the frequency range 70</w:t>
      </w:r>
      <w:r w:rsidR="00727DD8" w:rsidDel="007E55F4">
        <w:t>–</w:t>
      </w:r>
      <w:r w:rsidRPr="0027128C" w:rsidDel="007E55F4">
        <w:t>70.24375</w:t>
      </w:r>
      <w:r w:rsidR="00727DD8" w:rsidDel="007E55F4">
        <w:t xml:space="preserve"> </w:t>
      </w:r>
      <w:r w:rsidRPr="0027128C" w:rsidDel="007E55F4">
        <w:t>MHz</w:t>
      </w:r>
      <w:r w:rsidR="00727DD8" w:rsidDel="007E55F4">
        <w:t>.</w:t>
      </w:r>
      <w:r w:rsidRPr="0027128C" w:rsidDel="007E55F4">
        <w:t xml:space="preserve"> </w:t>
      </w:r>
    </w:p>
    <w:p w14:paraId="733FAB15" w14:textId="77777777" w:rsidR="00B830D0" w:rsidRPr="00C11FCB" w:rsidDel="007E55F4" w:rsidRDefault="006D64BD" w:rsidP="005759E7">
      <w:pPr>
        <w:pStyle w:val="ListBullet"/>
      </w:pPr>
      <w:r w:rsidRPr="001B1B7A" w:rsidDel="007E55F4">
        <w:rPr>
          <w:b/>
        </w:rPr>
        <w:t>e</w:t>
      </w:r>
      <w:r w:rsidR="00B830D0" w:rsidRPr="001B1B7A" w:rsidDel="007E55F4">
        <w:rPr>
          <w:b/>
        </w:rPr>
        <w:t>xtension of the 3776</w:t>
      </w:r>
      <w:r w:rsidR="00727DD8" w:rsidRPr="001B1B7A" w:rsidDel="007E55F4">
        <w:rPr>
          <w:b/>
        </w:rPr>
        <w:t>–</w:t>
      </w:r>
      <w:r w:rsidR="00B830D0" w:rsidRPr="001B1B7A" w:rsidDel="007E55F4">
        <w:rPr>
          <w:b/>
        </w:rPr>
        <w:t>3800 kHz DX window to above 3800 kHz</w:t>
      </w:r>
      <w:r w:rsidR="00727DD8" w:rsidDel="007E55F4">
        <w:t>—</w:t>
      </w:r>
      <w:r w:rsidR="00B830D0" w:rsidRPr="0027128C" w:rsidDel="007E55F4">
        <w:t xml:space="preserve">The ACMA does not support this </w:t>
      </w:r>
      <w:r w:rsidR="00B830D0" w:rsidRPr="00C11FCB" w:rsidDel="007E55F4">
        <w:t xml:space="preserve">change, </w:t>
      </w:r>
      <w:r w:rsidR="0023477F" w:rsidRPr="00C11FCB" w:rsidDel="007E55F4">
        <w:t>as it poses</w:t>
      </w:r>
      <w:r w:rsidR="00B830D0" w:rsidRPr="00C11FCB" w:rsidDel="007E55F4">
        <w:t xml:space="preserve"> considerable disruption to existing users</w:t>
      </w:r>
      <w:r w:rsidR="00727DD8" w:rsidRPr="00C11FCB" w:rsidDel="007E55F4">
        <w:t>.</w:t>
      </w:r>
    </w:p>
    <w:p w14:paraId="6C932C2D" w14:textId="77777777" w:rsidR="00B830D0" w:rsidRPr="00C11FCB" w:rsidDel="007E55F4" w:rsidRDefault="00B830D0" w:rsidP="005759E7">
      <w:pPr>
        <w:pStyle w:val="ListBullet"/>
      </w:pPr>
      <w:r w:rsidRPr="001B1B7A" w:rsidDel="007E55F4">
        <w:rPr>
          <w:b/>
        </w:rPr>
        <w:t>50</w:t>
      </w:r>
      <w:r w:rsidR="00727DD8" w:rsidRPr="001B1B7A" w:rsidDel="007E55F4">
        <w:rPr>
          <w:b/>
        </w:rPr>
        <w:t>–</w:t>
      </w:r>
      <w:r w:rsidRPr="001B1B7A" w:rsidDel="007E55F4">
        <w:rPr>
          <w:b/>
        </w:rPr>
        <w:t xml:space="preserve">52 MHz </w:t>
      </w:r>
      <w:r w:rsidR="00727DD8" w:rsidRPr="001B1B7A" w:rsidDel="007E55F4">
        <w:rPr>
          <w:b/>
        </w:rPr>
        <w:t>u</w:t>
      </w:r>
      <w:r w:rsidRPr="001B1B7A" w:rsidDel="007E55F4">
        <w:rPr>
          <w:b/>
        </w:rPr>
        <w:t xml:space="preserve">pgrade of </w:t>
      </w:r>
      <w:r w:rsidR="0026070D" w:rsidRPr="001B1B7A" w:rsidDel="007E55F4">
        <w:rPr>
          <w:b/>
        </w:rPr>
        <w:t xml:space="preserve">amateur </w:t>
      </w:r>
      <w:r w:rsidRPr="001B1B7A" w:rsidDel="007E55F4">
        <w:rPr>
          <w:b/>
        </w:rPr>
        <w:t>allocation to primary in Australian Radiofrequency Spectrum Plan</w:t>
      </w:r>
      <w:r w:rsidR="00727DD8" w:rsidRPr="00C11FCB" w:rsidDel="007E55F4">
        <w:t>—</w:t>
      </w:r>
      <w:r w:rsidRPr="00C11FCB" w:rsidDel="007E55F4">
        <w:t>With other priorities (</w:t>
      </w:r>
      <w:r w:rsidR="00457502">
        <w:t xml:space="preserve">for example, </w:t>
      </w:r>
      <w:r w:rsidRPr="00C11FCB" w:rsidDel="007E55F4">
        <w:t>digital radio planning, AM to FM conversions)</w:t>
      </w:r>
      <w:r w:rsidR="00727DD8" w:rsidRPr="00C11FCB" w:rsidDel="007E55F4">
        <w:t>,</w:t>
      </w:r>
      <w:r w:rsidRPr="00C11FCB" w:rsidDel="007E55F4">
        <w:t xml:space="preserve"> the ACMA does not intend to consider this matter in the short</w:t>
      </w:r>
      <w:r w:rsidR="00457502">
        <w:t>-</w:t>
      </w:r>
      <w:r w:rsidRPr="00C11FCB" w:rsidDel="007E55F4">
        <w:t xml:space="preserve"> </w:t>
      </w:r>
      <w:r w:rsidR="00DD1649" w:rsidRPr="00C11FCB" w:rsidDel="007E55F4">
        <w:t xml:space="preserve">to </w:t>
      </w:r>
      <w:r w:rsidRPr="00C11FCB" w:rsidDel="007E55F4">
        <w:t>medium</w:t>
      </w:r>
      <w:r w:rsidR="00457502">
        <w:t>-</w:t>
      </w:r>
      <w:r w:rsidRPr="00C11FCB" w:rsidDel="007E55F4">
        <w:t>term</w:t>
      </w:r>
      <w:r w:rsidR="00B43510" w:rsidRPr="00C11FCB" w:rsidDel="007E55F4">
        <w:t>.</w:t>
      </w:r>
      <w:r w:rsidRPr="00C11FCB" w:rsidDel="007E55F4">
        <w:t xml:space="preserve"> </w:t>
      </w:r>
    </w:p>
    <w:p w14:paraId="6512BBBF" w14:textId="77777777" w:rsidR="00B830D0" w:rsidRPr="0027128C" w:rsidDel="007E55F4" w:rsidRDefault="00B830D0" w:rsidP="005759E7">
      <w:pPr>
        <w:pStyle w:val="ListBullet"/>
      </w:pPr>
      <w:r w:rsidRPr="001B1B7A" w:rsidDel="007E55F4">
        <w:rPr>
          <w:b/>
        </w:rPr>
        <w:t>Expansion of amateur usage in 1800</w:t>
      </w:r>
      <w:r w:rsidR="00727DD8" w:rsidRPr="001B1B7A" w:rsidDel="007E55F4">
        <w:rPr>
          <w:b/>
        </w:rPr>
        <w:t>–</w:t>
      </w:r>
      <w:r w:rsidRPr="001B1B7A" w:rsidDel="007E55F4">
        <w:rPr>
          <w:b/>
        </w:rPr>
        <w:t>1875 kHz up to 2000 kHz</w:t>
      </w:r>
      <w:r w:rsidR="00727DD8" w:rsidDel="007E55F4">
        <w:t>—</w:t>
      </w:r>
      <w:r w:rsidRPr="0027128C" w:rsidDel="007E55F4">
        <w:t>At the ITU level</w:t>
      </w:r>
      <w:r w:rsidR="00727DD8" w:rsidDel="007E55F4">
        <w:t>,</w:t>
      </w:r>
      <w:r w:rsidRPr="0027128C" w:rsidDel="007E55F4">
        <w:t xml:space="preserve"> there is an allocation for the amateur services in 1800</w:t>
      </w:r>
      <w:r w:rsidR="00727DD8" w:rsidDel="007E55F4">
        <w:t>–</w:t>
      </w:r>
      <w:r w:rsidRPr="0027128C" w:rsidDel="007E55F4">
        <w:t xml:space="preserve">2000 kHz. </w:t>
      </w:r>
      <w:r w:rsidR="00727DD8" w:rsidDel="007E55F4">
        <w:t>However, i</w:t>
      </w:r>
      <w:r w:rsidRPr="0027128C" w:rsidDel="007E55F4">
        <w:t>n Australia, 1875</w:t>
      </w:r>
      <w:r w:rsidR="00727DD8" w:rsidDel="007E55F4">
        <w:t>–</w:t>
      </w:r>
      <w:r w:rsidRPr="0027128C" w:rsidDel="007E55F4">
        <w:t>2000 kHz is used by other services. The introduction of amateur services would be a disruption to those services and the views of existing users would need to be sought. At this stage</w:t>
      </w:r>
      <w:r w:rsidR="00DD1649" w:rsidRPr="0027128C" w:rsidDel="007E55F4">
        <w:t>,</w:t>
      </w:r>
      <w:r w:rsidRPr="0027128C" w:rsidDel="007E55F4">
        <w:t xml:space="preserve"> based on </w:t>
      </w:r>
      <w:r w:rsidR="00727DD8" w:rsidDel="007E55F4">
        <w:t>our</w:t>
      </w:r>
      <w:r w:rsidRPr="0027128C" w:rsidDel="007E55F4">
        <w:t xml:space="preserve"> knowledge of current usage</w:t>
      </w:r>
      <w:r w:rsidR="00DD1649" w:rsidRPr="0027128C" w:rsidDel="007E55F4">
        <w:t>,</w:t>
      </w:r>
      <w:r w:rsidRPr="0027128C" w:rsidDel="007E55F4">
        <w:t xml:space="preserve"> the ACMA does not consider such expansion possible</w:t>
      </w:r>
      <w:r w:rsidR="00294B52" w:rsidDel="007E55F4">
        <w:t xml:space="preserve"> without impacting existing services</w:t>
      </w:r>
      <w:r w:rsidRPr="0027128C" w:rsidDel="007E55F4">
        <w:t xml:space="preserve">. </w:t>
      </w:r>
    </w:p>
    <w:p w14:paraId="1AB982E7" w14:textId="27409C86" w:rsidR="004C0225" w:rsidDel="007E55F4" w:rsidRDefault="00B830D0" w:rsidP="005759E7">
      <w:pPr>
        <w:pStyle w:val="ListBulletLast"/>
        <w:spacing w:after="80"/>
      </w:pPr>
      <w:r w:rsidRPr="001B1B7A" w:rsidDel="007E55F4">
        <w:rPr>
          <w:b/>
        </w:rPr>
        <w:t>Secondary allocation at 5.3 MHz (</w:t>
      </w:r>
      <w:r w:rsidR="00727DD8" w:rsidRPr="001B1B7A" w:rsidDel="007E55F4">
        <w:rPr>
          <w:b/>
        </w:rPr>
        <w:t>i</w:t>
      </w:r>
      <w:r w:rsidRPr="001B1B7A" w:rsidDel="007E55F4">
        <w:rPr>
          <w:b/>
        </w:rPr>
        <w:t xml:space="preserve">mplementation of WRC 15 agenda </w:t>
      </w:r>
      <w:r w:rsidR="0080400A" w:rsidRPr="001B1B7A" w:rsidDel="007E55F4">
        <w:rPr>
          <w:b/>
        </w:rPr>
        <w:t>item</w:t>
      </w:r>
      <w:r w:rsidR="0080400A">
        <w:rPr>
          <w:b/>
        </w:rPr>
        <w:t> </w:t>
      </w:r>
      <w:r w:rsidRPr="001B1B7A" w:rsidDel="007E55F4">
        <w:rPr>
          <w:b/>
        </w:rPr>
        <w:t>1.4)</w:t>
      </w:r>
      <w:r w:rsidR="00727DD8" w:rsidRPr="001B1B7A" w:rsidDel="007E55F4">
        <w:rPr>
          <w:b/>
        </w:rPr>
        <w:t>—</w:t>
      </w:r>
      <w:r w:rsidR="00DB69B8" w:rsidRPr="0027128C" w:rsidDel="007E55F4">
        <w:t>In</w:t>
      </w:r>
      <w:r w:rsidR="00DB69B8" w:rsidDel="007E55F4">
        <w:t> </w:t>
      </w:r>
      <w:r w:rsidRPr="0027128C" w:rsidDel="007E55F4">
        <w:t xml:space="preserve">Australia, the band is currently used by some emergency service and law enforcement organisations for mobile operations. </w:t>
      </w:r>
      <w:r w:rsidRPr="00350C72" w:rsidDel="007E55F4">
        <w:t>Defence</w:t>
      </w:r>
      <w:r w:rsidRPr="0027128C" w:rsidDel="007E55F4">
        <w:t xml:space="preserve"> also uses these frequencies in support of key capabilities. The ACMA consulted with local stakeholders on this potential allocation in the lead-up to </w:t>
      </w:r>
      <w:r w:rsidRPr="00727DD8" w:rsidDel="007E55F4">
        <w:t>WRC</w:t>
      </w:r>
      <w:r w:rsidR="00727DD8" w:rsidDel="007E55F4">
        <w:t>-</w:t>
      </w:r>
      <w:r w:rsidRPr="00727DD8" w:rsidDel="007E55F4">
        <w:t>15</w:t>
      </w:r>
      <w:r w:rsidRPr="0027128C" w:rsidDel="007E55F4">
        <w:t>. Stakeholder views were varied, with opposition to the allocation in particula</w:t>
      </w:r>
      <w:r w:rsidR="00457502">
        <w:t>r</w:t>
      </w:r>
      <w:r w:rsidRPr="0027128C" w:rsidDel="007E55F4">
        <w:t xml:space="preserve"> from Defence</w:t>
      </w:r>
      <w:r w:rsidR="00727DD8" w:rsidDel="007E55F4">
        <w:t>,</w:t>
      </w:r>
      <w:r w:rsidRPr="0027128C" w:rsidDel="007E55F4">
        <w:t xml:space="preserve"> due to the potential for interference to </w:t>
      </w:r>
      <w:r w:rsidR="009263D1" w:rsidDel="007E55F4">
        <w:t>its</w:t>
      </w:r>
      <w:r w:rsidRPr="0027128C" w:rsidDel="007E55F4">
        <w:t xml:space="preserve"> systems. </w:t>
      </w:r>
    </w:p>
    <w:p w14:paraId="59DF9CB3" w14:textId="77777777" w:rsidR="002C689F" w:rsidDel="007E55F4" w:rsidRDefault="00B830D0" w:rsidP="005759E7">
      <w:pPr>
        <w:pStyle w:val="ListBulletLast"/>
        <w:numPr>
          <w:ilvl w:val="0"/>
          <w:numId w:val="0"/>
        </w:numPr>
        <w:spacing w:after="80"/>
        <w:ind w:left="295"/>
      </w:pPr>
      <w:r w:rsidRPr="0027128C" w:rsidDel="007E55F4">
        <w:t xml:space="preserve">Notwithstanding Australia’s concerns, a secondary allocation was ultimately made at WRC-15 and </w:t>
      </w:r>
      <w:r w:rsidRPr="00727DD8" w:rsidDel="007E55F4">
        <w:t>has</w:t>
      </w:r>
      <w:r w:rsidRPr="0027128C" w:rsidDel="007E55F4">
        <w:t xml:space="preserve"> been added to the </w:t>
      </w:r>
      <w:r w:rsidRPr="00E53CF1" w:rsidDel="007E55F4">
        <w:t>Australian Radio</w:t>
      </w:r>
      <w:r w:rsidR="0048737F" w:rsidRPr="00E53CF1" w:rsidDel="007E55F4">
        <w:t>frequency</w:t>
      </w:r>
      <w:r w:rsidRPr="00E53CF1" w:rsidDel="007E55F4">
        <w:t xml:space="preserve"> Spectrum Plan.</w:t>
      </w:r>
      <w:r w:rsidRPr="0027128C" w:rsidDel="007E55F4">
        <w:t xml:space="preserve"> However, this does not oblige the ACMA to enable use of the allocation. </w:t>
      </w:r>
    </w:p>
    <w:p w14:paraId="728B757C" w14:textId="77777777" w:rsidR="00962DF3" w:rsidRPr="0027128C" w:rsidDel="007E55F4" w:rsidRDefault="00B830D0" w:rsidP="005759E7">
      <w:pPr>
        <w:pStyle w:val="ListBulletLast"/>
        <w:numPr>
          <w:ilvl w:val="0"/>
          <w:numId w:val="0"/>
        </w:numPr>
        <w:ind w:left="295"/>
      </w:pPr>
      <w:r w:rsidRPr="0027128C" w:rsidDel="007E55F4">
        <w:t>The ACMA considers that the concerns of Defence, as an existing user of band</w:t>
      </w:r>
      <w:r w:rsidR="00727DD8" w:rsidDel="007E55F4">
        <w:t>,</w:t>
      </w:r>
      <w:r w:rsidRPr="0027128C" w:rsidDel="007E55F4">
        <w:t xml:space="preserve"> remain. Relevantly, the Australian </w:t>
      </w:r>
      <w:r w:rsidR="00727DD8" w:rsidDel="007E55F4">
        <w:t>G</w:t>
      </w:r>
      <w:r w:rsidRPr="0027128C" w:rsidDel="007E55F4">
        <w:t xml:space="preserve">overnment has recently committed $1.2 billion in support of defence systems that operate in </w:t>
      </w:r>
      <w:r w:rsidR="00D921A6" w:rsidDel="007E55F4">
        <w:t>the high</w:t>
      </w:r>
      <w:r w:rsidR="00D921A6" w:rsidRPr="0027128C" w:rsidDel="007E55F4">
        <w:t xml:space="preserve"> </w:t>
      </w:r>
      <w:r w:rsidRPr="0027128C" w:rsidDel="007E55F4">
        <w:t xml:space="preserve">frequency </w:t>
      </w:r>
      <w:r w:rsidR="00D921A6" w:rsidDel="007E55F4">
        <w:t>part of the spectrum</w:t>
      </w:r>
      <w:r w:rsidRPr="0027128C" w:rsidDel="007E55F4">
        <w:t>.</w:t>
      </w:r>
      <w:r w:rsidR="00447762" w:rsidDel="007E55F4">
        <w:t xml:space="preserve"> </w:t>
      </w:r>
      <w:r w:rsidRPr="0027128C" w:rsidDel="007E55F4">
        <w:t xml:space="preserve"> </w:t>
      </w:r>
    </w:p>
    <w:p w14:paraId="6B271CEA" w14:textId="77777777" w:rsidR="00785F7B" w:rsidRPr="00727DD8" w:rsidRDefault="00785F7B" w:rsidP="00344590">
      <w:pPr>
        <w:pStyle w:val="Heading3"/>
      </w:pPr>
      <w:bookmarkStart w:id="271" w:name="_Toc510795085"/>
      <w:bookmarkStart w:id="272" w:name="_Toc511716288"/>
      <w:bookmarkStart w:id="273" w:name="_Toc511719099"/>
      <w:bookmarkStart w:id="274" w:name="_Toc522794094"/>
      <w:bookmarkStart w:id="275" w:name="_Toc524517100"/>
      <w:r w:rsidRPr="00727DD8">
        <w:t>Ongoing review of spectrum planning, assignment and coordination requirements</w:t>
      </w:r>
      <w:bookmarkEnd w:id="271"/>
      <w:bookmarkEnd w:id="272"/>
      <w:bookmarkEnd w:id="273"/>
      <w:bookmarkEnd w:id="274"/>
      <w:bookmarkEnd w:id="275"/>
    </w:p>
    <w:p w14:paraId="568D3B69" w14:textId="77777777" w:rsidR="004C0225" w:rsidRDefault="00785F7B" w:rsidP="005759E7">
      <w:r w:rsidRPr="0027128C">
        <w:t xml:space="preserve">The ACMA </w:t>
      </w:r>
      <w:r w:rsidR="00455A05">
        <w:t xml:space="preserve">will </w:t>
      </w:r>
      <w:r w:rsidR="00236678">
        <w:t>continue its</w:t>
      </w:r>
      <w:r w:rsidRPr="0027128C">
        <w:t xml:space="preserve"> ongoing review of </w:t>
      </w:r>
      <w:r w:rsidR="00676637" w:rsidRPr="0027128C">
        <w:t xml:space="preserve">the </w:t>
      </w:r>
      <w:r w:rsidRPr="0027128C">
        <w:t xml:space="preserve">technical </w:t>
      </w:r>
      <w:hyperlink r:id="rId51" w:history="1">
        <w:r w:rsidRPr="0027128C">
          <w:rPr>
            <w:rStyle w:val="Hyperlink"/>
          </w:rPr>
          <w:t>spectrum planning</w:t>
        </w:r>
      </w:hyperlink>
      <w:r w:rsidRPr="0027128C">
        <w:t xml:space="preserve"> framework. This activity is primarily focused on frequency assignment and coordination frameworks (as specified in apparatus</w:t>
      </w:r>
      <w:r w:rsidR="00A42082">
        <w:t>-</w:t>
      </w:r>
      <w:r w:rsidRPr="0027128C">
        <w:t>licensing coordination requirements</w:t>
      </w:r>
      <w:r w:rsidR="000A5B2C" w:rsidRPr="0027128C">
        <w:t>, with occasional consideration of spectrum</w:t>
      </w:r>
      <w:r w:rsidR="00A42082">
        <w:t>-</w:t>
      </w:r>
      <w:r w:rsidR="000A5B2C" w:rsidRPr="0027128C">
        <w:t>licensing technical frameworks</w:t>
      </w:r>
      <w:r w:rsidRPr="0027128C">
        <w:t xml:space="preserve">). </w:t>
      </w:r>
    </w:p>
    <w:p w14:paraId="032D1579" w14:textId="77777777" w:rsidR="00785F7B" w:rsidRPr="0027128C" w:rsidRDefault="00785F7B" w:rsidP="005759E7">
      <w:r w:rsidRPr="0027128C">
        <w:t xml:space="preserve">The </w:t>
      </w:r>
      <w:r w:rsidR="00676637" w:rsidRPr="0027128C">
        <w:t>continuing</w:t>
      </w:r>
      <w:r w:rsidRPr="0027128C">
        <w:t xml:space="preserve"> appropriateness of spectrum embargoes is also considered. The objective is to ensure the currency of the spectrum planning framework and </w:t>
      </w:r>
      <w:r w:rsidR="00A42082">
        <w:t>en</w:t>
      </w:r>
      <w:r w:rsidR="00676637" w:rsidRPr="0027128C">
        <w:t>sure</w:t>
      </w:r>
      <w:r w:rsidRPr="0027128C">
        <w:t xml:space="preserve"> </w:t>
      </w:r>
      <w:r w:rsidR="00676637" w:rsidRPr="0027128C">
        <w:t>it is consistent with</w:t>
      </w:r>
      <w:r w:rsidRPr="0027128C">
        <w:t xml:space="preserve"> current technologies and operational practices. </w:t>
      </w:r>
    </w:p>
    <w:p w14:paraId="739D6CC4" w14:textId="77777777" w:rsidR="00785F7B" w:rsidRPr="0027128C" w:rsidRDefault="00411137" w:rsidP="0027128C">
      <w:r w:rsidRPr="0027128C">
        <w:lastRenderedPageBreak/>
        <w:t xml:space="preserve">To provide </w:t>
      </w:r>
      <w:r w:rsidR="00563AC8" w:rsidRPr="0027128C">
        <w:t>industry with greater visibility of this work</w:t>
      </w:r>
      <w:r w:rsidR="00A42082">
        <w:t>,</w:t>
      </w:r>
      <w:r w:rsidR="00563AC8" w:rsidRPr="0027128C">
        <w:t xml:space="preserve"> the</w:t>
      </w:r>
      <w:r w:rsidR="00785F7B" w:rsidRPr="0027128C">
        <w:t xml:space="preserve"> ACMA intends to </w:t>
      </w:r>
      <w:r w:rsidR="000A5B2C" w:rsidRPr="0027128C">
        <w:t>publish</w:t>
      </w:r>
      <w:r w:rsidR="00785F7B" w:rsidRPr="0027128C">
        <w:t xml:space="preserve"> a program </w:t>
      </w:r>
      <w:r w:rsidR="000A5B2C" w:rsidRPr="0027128C">
        <w:t>of re</w:t>
      </w:r>
      <w:r w:rsidR="00563AC8" w:rsidRPr="0027128C">
        <w:t xml:space="preserve">view </w:t>
      </w:r>
      <w:r w:rsidR="000A5B2C" w:rsidRPr="0027128C">
        <w:t>focusing on improvements to frequency coordination requirements.</w:t>
      </w:r>
    </w:p>
    <w:p w14:paraId="796282AE" w14:textId="77777777" w:rsidR="00785F7B" w:rsidRPr="0027128C" w:rsidRDefault="00785F7B" w:rsidP="005759E7">
      <w:pPr>
        <w:pStyle w:val="BodySubHeader"/>
      </w:pPr>
      <w:r w:rsidRPr="0027128C">
        <w:t>Activities planned for 2018</w:t>
      </w:r>
      <w:r w:rsidR="00A42082">
        <w:t>–</w:t>
      </w:r>
      <w:r w:rsidRPr="0027128C">
        <w:t xml:space="preserve">19 </w:t>
      </w:r>
    </w:p>
    <w:p w14:paraId="533C3822" w14:textId="77777777" w:rsidR="003C4B23" w:rsidRPr="0027128C" w:rsidRDefault="00A42082" w:rsidP="0027128C">
      <w:r>
        <w:t xml:space="preserve">The ACMA </w:t>
      </w:r>
      <w:r w:rsidR="0022429D">
        <w:t xml:space="preserve">intends to finalise the </w:t>
      </w:r>
      <w:r w:rsidR="00785F7B" w:rsidRPr="0027128C">
        <w:t xml:space="preserve">draft </w:t>
      </w:r>
      <w:r w:rsidR="000A5B2C" w:rsidRPr="0027128C">
        <w:t>program of review</w:t>
      </w:r>
      <w:r w:rsidR="00785F7B" w:rsidRPr="0027128C">
        <w:t xml:space="preserve"> </w:t>
      </w:r>
      <w:r w:rsidR="0022429D">
        <w:t>(</w:t>
      </w:r>
      <w:r w:rsidR="00E94117">
        <w:t>refer</w:t>
      </w:r>
      <w:r w:rsidR="0022429D">
        <w:t xml:space="preserve"> </w:t>
      </w:r>
      <w:hyperlink r:id="rId52" w:history="1">
        <w:r w:rsidR="0022429D" w:rsidRPr="0022429D">
          <w:rPr>
            <w:rStyle w:val="Hyperlink"/>
          </w:rPr>
          <w:t>IFC 26/2018</w:t>
        </w:r>
      </w:hyperlink>
      <w:r w:rsidR="0022429D">
        <w:t>)</w:t>
      </w:r>
      <w:r w:rsidR="000A5B2C" w:rsidRPr="0027128C">
        <w:t xml:space="preserve"> </w:t>
      </w:r>
      <w:r w:rsidR="0022429D">
        <w:t xml:space="preserve">by end </w:t>
      </w:r>
      <w:r w:rsidR="000A5B2C" w:rsidRPr="0027128C">
        <w:t>Q1 2018</w:t>
      </w:r>
      <w:r>
        <w:t>–</w:t>
      </w:r>
      <w:r w:rsidR="000A5B2C" w:rsidRPr="0027128C">
        <w:t>19.</w:t>
      </w:r>
    </w:p>
    <w:p w14:paraId="484251FC" w14:textId="77777777" w:rsidR="00D50A45" w:rsidRPr="00964F02" w:rsidRDefault="00785F7B" w:rsidP="005759E7">
      <w:pPr>
        <w:pStyle w:val="BodySubHeader"/>
        <w:keepNext/>
      </w:pPr>
      <w:bookmarkStart w:id="276" w:name="_Toc510795087"/>
      <w:r w:rsidRPr="0027128C">
        <w:t>Terrestrial</w:t>
      </w:r>
      <w:bookmarkEnd w:id="276"/>
      <w:r w:rsidRPr="0027128C">
        <w:t xml:space="preserve"> </w:t>
      </w:r>
      <w:r w:rsidR="00D50A45" w:rsidRPr="00964F02">
        <w:t xml:space="preserve">IoT planning </w:t>
      </w:r>
    </w:p>
    <w:p w14:paraId="334FFE06" w14:textId="77777777" w:rsidR="00B830D0" w:rsidRPr="0027128C" w:rsidRDefault="00D50A45" w:rsidP="0027128C">
      <w:r w:rsidRPr="0027128C">
        <w:t xml:space="preserve">After completing its review of the 803–960 MHz band in 2015, the ACMA decided to make spectrum in the 928–935 MHz band available </w:t>
      </w:r>
      <w:r w:rsidR="00B830D0" w:rsidRPr="0027128C">
        <w:t xml:space="preserve">via class licensing </w:t>
      </w:r>
      <w:r w:rsidRPr="0027128C">
        <w:t xml:space="preserve">for </w:t>
      </w:r>
      <w:r w:rsidR="00B830D0" w:rsidRPr="0027128C">
        <w:t>low power, low duty cycle devices</w:t>
      </w:r>
      <w:r w:rsidR="00280702">
        <w:t>,</w:t>
      </w:r>
      <w:r w:rsidR="00B830D0" w:rsidRPr="0027128C">
        <w:t xml:space="preserve"> in manner optimised </w:t>
      </w:r>
      <w:r w:rsidR="00B830D0" w:rsidRPr="00E53CF1">
        <w:t>for LPWA</w:t>
      </w:r>
      <w:r w:rsidR="00B830D0" w:rsidRPr="0027128C">
        <w:t xml:space="preserve"> IoT type applications. The availability of this band is linked with broader replanning activities within the 803</w:t>
      </w:r>
      <w:r w:rsidR="00280702">
        <w:t>–</w:t>
      </w:r>
      <w:r w:rsidR="00B830D0" w:rsidRPr="0027128C">
        <w:t>960 MHz band</w:t>
      </w:r>
      <w:r w:rsidR="0023477F">
        <w:t>.</w:t>
      </w:r>
      <w:r w:rsidR="00447762">
        <w:t xml:space="preserve"> </w:t>
      </w:r>
    </w:p>
    <w:p w14:paraId="1ED0FEFA" w14:textId="77777777" w:rsidR="00D50A45" w:rsidRPr="0027128C" w:rsidRDefault="00B830D0" w:rsidP="0027128C">
      <w:r w:rsidRPr="0027128C">
        <w:t>Throughout 2017</w:t>
      </w:r>
      <w:r w:rsidR="00280702">
        <w:t>–</w:t>
      </w:r>
      <w:r w:rsidRPr="0027128C">
        <w:t xml:space="preserve">18, the ACMA has continued to work with industry through the </w:t>
      </w:r>
      <w:r w:rsidR="00C06614">
        <w:t xml:space="preserve">Internet of Things Alliance Australia </w:t>
      </w:r>
      <w:r w:rsidR="00091E8B">
        <w:t>(</w:t>
      </w:r>
      <w:r w:rsidRPr="00E53CF1">
        <w:t>IoTAA</w:t>
      </w:r>
      <w:r w:rsidR="00091E8B">
        <w:t>)</w:t>
      </w:r>
      <w:r w:rsidR="00D50A45" w:rsidRPr="00E53CF1">
        <w:t>,</w:t>
      </w:r>
      <w:r w:rsidR="00D50A45" w:rsidRPr="0027128C">
        <w:t xml:space="preserve"> with a view to providing early access to the band by LPWA technologies </w:t>
      </w:r>
      <w:r w:rsidRPr="0027128C">
        <w:t xml:space="preserve">where </w:t>
      </w:r>
      <w:r w:rsidR="00D50A45" w:rsidRPr="0027128C">
        <w:t>possible, subject to device coordination with incumbent fixed links.</w:t>
      </w:r>
    </w:p>
    <w:p w14:paraId="52D28BA5" w14:textId="77777777" w:rsidR="003F4B80" w:rsidRDefault="003F4B80" w:rsidP="003F4B80">
      <w:pPr>
        <w:pStyle w:val="Heading1"/>
      </w:pPr>
      <w:bookmarkStart w:id="277" w:name="_Toc510104961"/>
      <w:bookmarkStart w:id="278" w:name="_Toc510105758"/>
      <w:bookmarkStart w:id="279" w:name="_Toc510795090"/>
      <w:bookmarkStart w:id="280" w:name="_Toc511716291"/>
      <w:bookmarkStart w:id="281" w:name="_Toc511719102"/>
      <w:bookmarkStart w:id="282" w:name="_Toc522794095"/>
      <w:bookmarkStart w:id="283" w:name="_Toc524517101"/>
      <w:r w:rsidRPr="00835321">
        <w:lastRenderedPageBreak/>
        <w:t>The</w:t>
      </w:r>
      <w:r>
        <w:t xml:space="preserve"> forward allocation work plan</w:t>
      </w:r>
      <w:bookmarkEnd w:id="277"/>
      <w:bookmarkEnd w:id="278"/>
      <w:bookmarkEnd w:id="279"/>
      <w:bookmarkEnd w:id="280"/>
      <w:bookmarkEnd w:id="281"/>
      <w:bookmarkEnd w:id="282"/>
      <w:bookmarkEnd w:id="283"/>
    </w:p>
    <w:p w14:paraId="72441613" w14:textId="77777777" w:rsidR="003F4B80" w:rsidRPr="005759E7" w:rsidRDefault="003F4B80" w:rsidP="005759E7">
      <w:pPr>
        <w:pStyle w:val="Heading2"/>
        <w:rPr>
          <w:rFonts w:eastAsiaTheme="majorEastAsia"/>
        </w:rPr>
      </w:pPr>
      <w:bookmarkStart w:id="284" w:name="_Toc510104962"/>
      <w:bookmarkStart w:id="285" w:name="_Toc510105759"/>
      <w:bookmarkStart w:id="286" w:name="_Toc510795091"/>
      <w:bookmarkStart w:id="287" w:name="_Toc511716292"/>
      <w:bookmarkStart w:id="288" w:name="_Toc511719103"/>
      <w:bookmarkStart w:id="289" w:name="_Toc522794096"/>
      <w:bookmarkStart w:id="290" w:name="_Toc524517102"/>
      <w:r w:rsidRPr="005759E7">
        <w:rPr>
          <w:rFonts w:eastAsiaTheme="majorEastAsia"/>
        </w:rPr>
        <w:t xml:space="preserve">Purpose of the </w:t>
      </w:r>
      <w:r w:rsidR="00327EA2">
        <w:rPr>
          <w:rFonts w:eastAsiaTheme="majorEastAsia"/>
        </w:rPr>
        <w:t xml:space="preserve">forward </w:t>
      </w:r>
      <w:r w:rsidRPr="005759E7">
        <w:rPr>
          <w:rFonts w:eastAsiaTheme="majorEastAsia"/>
        </w:rPr>
        <w:t xml:space="preserve">allocation </w:t>
      </w:r>
      <w:bookmarkEnd w:id="284"/>
      <w:bookmarkEnd w:id="285"/>
      <w:bookmarkEnd w:id="286"/>
      <w:r w:rsidR="00BA6010" w:rsidRPr="005759E7">
        <w:rPr>
          <w:rFonts w:eastAsiaTheme="majorEastAsia"/>
        </w:rPr>
        <w:t>work plan</w:t>
      </w:r>
      <w:bookmarkEnd w:id="287"/>
      <w:bookmarkEnd w:id="288"/>
      <w:bookmarkEnd w:id="289"/>
      <w:bookmarkEnd w:id="290"/>
      <w:r w:rsidRPr="005759E7">
        <w:rPr>
          <w:rFonts w:eastAsiaTheme="majorEastAsia"/>
        </w:rPr>
        <w:t xml:space="preserve"> </w:t>
      </w:r>
    </w:p>
    <w:p w14:paraId="390FCEA3" w14:textId="77777777" w:rsidR="003F4B80" w:rsidRPr="00EC58F7" w:rsidRDefault="003F4B80" w:rsidP="005759E7">
      <w:pPr>
        <w:spacing w:after="80"/>
        <w:rPr>
          <w:rFonts w:cs="Arial"/>
        </w:rPr>
      </w:pPr>
      <w:r>
        <w:t>T</w:t>
      </w:r>
      <w:r w:rsidRPr="009F505F">
        <w:t xml:space="preserve">imely access to spectrum is of increasing importance to an innovative and dynamic communications sector. </w:t>
      </w:r>
      <w:r w:rsidRPr="00EC58F7">
        <w:rPr>
          <w:rFonts w:cs="Arial"/>
        </w:rPr>
        <w:t>For incumbent and prospective spectrum users, th</w:t>
      </w:r>
      <w:r w:rsidR="00D433F2">
        <w:rPr>
          <w:rFonts w:cs="Arial"/>
        </w:rPr>
        <w:t>is forward</w:t>
      </w:r>
      <w:r w:rsidRPr="00EC58F7">
        <w:rPr>
          <w:rFonts w:cs="Arial"/>
        </w:rPr>
        <w:t xml:space="preserve"> allocation work </w:t>
      </w:r>
      <w:r w:rsidR="00B45C75">
        <w:rPr>
          <w:rFonts w:cs="Arial"/>
        </w:rPr>
        <w:t>program</w:t>
      </w:r>
      <w:r w:rsidR="00B45C75" w:rsidRPr="00EC58F7">
        <w:rPr>
          <w:rFonts w:cs="Arial"/>
        </w:rPr>
        <w:t xml:space="preserve"> </w:t>
      </w:r>
      <w:r w:rsidRPr="00EC58F7">
        <w:rPr>
          <w:rFonts w:cs="Arial"/>
        </w:rPr>
        <w:t>provide</w:t>
      </w:r>
      <w:r w:rsidR="00280702">
        <w:rPr>
          <w:rFonts w:cs="Arial"/>
        </w:rPr>
        <w:t>s</w:t>
      </w:r>
      <w:r w:rsidRPr="00EC58F7">
        <w:rPr>
          <w:rFonts w:cs="Arial"/>
        </w:rPr>
        <w:t xml:space="preserve"> information for stakeholders </w:t>
      </w:r>
      <w:r w:rsidR="0072754E">
        <w:rPr>
          <w:rFonts w:cs="Arial"/>
        </w:rPr>
        <w:t>about</w:t>
      </w:r>
      <w:r w:rsidR="0072754E" w:rsidRPr="00EC58F7">
        <w:rPr>
          <w:rFonts w:cs="Arial"/>
        </w:rPr>
        <w:t xml:space="preserve"> </w:t>
      </w:r>
      <w:r w:rsidRPr="00EC58F7">
        <w:rPr>
          <w:rFonts w:cs="Arial"/>
        </w:rPr>
        <w:t>the planning status and possible allocation timing</w:t>
      </w:r>
      <w:r w:rsidR="003A1815">
        <w:rPr>
          <w:rFonts w:cs="Arial"/>
        </w:rPr>
        <w:t xml:space="preserve"> and sequencing</w:t>
      </w:r>
      <w:r w:rsidRPr="00EC58F7">
        <w:rPr>
          <w:rFonts w:cs="Arial"/>
        </w:rPr>
        <w:t xml:space="preserve"> of particular spectrum bands</w:t>
      </w:r>
      <w:r w:rsidR="00280702">
        <w:rPr>
          <w:rFonts w:cs="Arial"/>
        </w:rPr>
        <w:t>,</w:t>
      </w:r>
      <w:r>
        <w:rPr>
          <w:rFonts w:cs="Arial"/>
        </w:rPr>
        <w:t xml:space="preserve"> to better support</w:t>
      </w:r>
      <w:r w:rsidRPr="00EC58F7">
        <w:rPr>
          <w:rFonts w:cs="Arial"/>
        </w:rPr>
        <w:t>:</w:t>
      </w:r>
    </w:p>
    <w:p w14:paraId="2E77273F" w14:textId="77777777" w:rsidR="003F4B80" w:rsidRPr="00280702" w:rsidRDefault="003F4B80" w:rsidP="005759E7">
      <w:pPr>
        <w:pStyle w:val="ListBullet"/>
      </w:pPr>
      <w:r w:rsidRPr="00EC58F7">
        <w:rPr>
          <w:rFonts w:eastAsiaTheme="minorEastAsia"/>
        </w:rPr>
        <w:t xml:space="preserve">strategic </w:t>
      </w:r>
      <w:r w:rsidRPr="00280702">
        <w:rPr>
          <w:rFonts w:eastAsiaTheme="minorEastAsia"/>
        </w:rPr>
        <w:t xml:space="preserve">network planning by spectrum users </w:t>
      </w:r>
    </w:p>
    <w:p w14:paraId="2C29622C" w14:textId="77777777" w:rsidR="003F4B80" w:rsidRPr="00EC58F7" w:rsidRDefault="003F4B80" w:rsidP="005759E7">
      <w:pPr>
        <w:pStyle w:val="ListBullet"/>
      </w:pPr>
      <w:r w:rsidRPr="00280702">
        <w:rPr>
          <w:rFonts w:eastAsiaTheme="minorEastAsia"/>
        </w:rPr>
        <w:t>technology deployment</w:t>
      </w:r>
      <w:r w:rsidRPr="00EC58F7">
        <w:rPr>
          <w:rFonts w:eastAsiaTheme="minorEastAsia"/>
        </w:rPr>
        <w:t xml:space="preserve"> planning</w:t>
      </w:r>
    </w:p>
    <w:p w14:paraId="4AA7F3FF" w14:textId="77777777" w:rsidR="003F4B80" w:rsidRPr="00EC58F7" w:rsidRDefault="003F4B80" w:rsidP="005759E7">
      <w:pPr>
        <w:pStyle w:val="ListBulletLast"/>
      </w:pPr>
      <w:r w:rsidRPr="00EC58F7">
        <w:rPr>
          <w:rFonts w:eastAsiaTheme="minorEastAsia"/>
        </w:rPr>
        <w:t xml:space="preserve">information </w:t>
      </w:r>
      <w:r w:rsidR="0072754E" w:rsidRPr="00280702">
        <w:rPr>
          <w:rFonts w:eastAsiaTheme="minorEastAsia"/>
        </w:rPr>
        <w:t>relevant</w:t>
      </w:r>
      <w:r w:rsidRPr="00EC58F7">
        <w:rPr>
          <w:rFonts w:eastAsiaTheme="minorEastAsia"/>
        </w:rPr>
        <w:t xml:space="preserve"> to capital-raising activities.</w:t>
      </w:r>
    </w:p>
    <w:p w14:paraId="28485874" w14:textId="77777777" w:rsidR="003F4B80" w:rsidRPr="008459DF" w:rsidRDefault="003F4B80">
      <w:r w:rsidRPr="008459DF">
        <w:t>Specific allocations depend on ACMA and ministerial decisions made during the planning stage, and reflect other relevant government policy considerations about planning priorities. Information from incumbent and prospective spectrum users about the demand for access to specific bands and the timing of any possible allocation will also provide important input to allocation decisions.</w:t>
      </w:r>
    </w:p>
    <w:p w14:paraId="7A76134F" w14:textId="77777777" w:rsidR="003F4B80" w:rsidRPr="008459DF" w:rsidRDefault="003F4B80">
      <w:r w:rsidRPr="008459DF">
        <w:t>There is no certainty that any band will move to allocation until a formal decision has been made to change arrangements in that band. The ACMA emphasises that the information presented here does not in any way pre-empt such formal decisions.</w:t>
      </w:r>
      <w:r w:rsidR="00447762">
        <w:t xml:space="preserve"> </w:t>
      </w:r>
    </w:p>
    <w:p w14:paraId="1ECFAE3E" w14:textId="77777777" w:rsidR="003F4B80" w:rsidRPr="008459DF" w:rsidRDefault="003F4B80">
      <w:r w:rsidRPr="008459DF">
        <w:t xml:space="preserve">Even once a formal decision has been made to move towards an allocation, the specific design of each allocation (for example, features such as the allocation timing, allocation methodology and lot configuration) are all dependent on a range of planning decisions yet to be made. The ACMA </w:t>
      </w:r>
      <w:r w:rsidR="003A1815">
        <w:t>will</w:t>
      </w:r>
      <w:r w:rsidRPr="008459DF">
        <w:t xml:space="preserve"> take account of feedback from industry about likely demand and their priorities for access to particular spectrum bands. </w:t>
      </w:r>
    </w:p>
    <w:p w14:paraId="205C53C5" w14:textId="77777777" w:rsidR="00A61888" w:rsidRDefault="00A61888" w:rsidP="00A61888">
      <w:r>
        <w:t>This allocation program builds on a considerable body of work the ACMA has undertaken over the last fourteen or so months in finalising the allocation of residual lots in a range of bands. In April 2017 the ACMA undertook an auction of 15 MHz of spectrum in the 700 MHz band</w:t>
      </w:r>
      <w:r w:rsidR="00CD20C4">
        <w:t>,</w:t>
      </w:r>
      <w:r>
        <w:t xml:space="preserve"> which had remained unsold at the conclusion of the 2013 digital dividend auction. This was followed, in December 2017, by the auction of 39 lots </w:t>
      </w:r>
      <w:r w:rsidR="00CD20C4">
        <w:t xml:space="preserve">that </w:t>
      </w:r>
      <w:r>
        <w:t>remained unallocated after previous allocation and re-issue processes in the 1800 MHz, 2 GHz, 2.3 GHz and 3.4 GHz band</w:t>
      </w:r>
      <w:r w:rsidR="00CD20C4">
        <w:t>s</w:t>
      </w:r>
      <w:r>
        <w:t xml:space="preserve">. </w:t>
      </w:r>
    </w:p>
    <w:p w14:paraId="11067ED7" w14:textId="77777777" w:rsidR="00A61888" w:rsidRDefault="00A61888" w:rsidP="00A61888">
      <w:r>
        <w:t>The completion of these auctions not only offers the prospect of improved services and greater choice for consumers in areas where the spectrum was allocated</w:t>
      </w:r>
      <w:r w:rsidR="00CD20C4">
        <w:t>, i</w:t>
      </w:r>
      <w:r>
        <w:t>t also increases the opportunities for licensees to undertak</w:t>
      </w:r>
      <w:r w:rsidR="001C2180">
        <w:t>e</w:t>
      </w:r>
      <w:r>
        <w:t xml:space="preserve"> trading and contribute to defragmentation in some bands, allowing more efficient use of spectrum. The ACMA considers that facilitating defragmentation is an important part of spectrum management, and this is reflected in th</w:t>
      </w:r>
      <w:r w:rsidR="00586644">
        <w:t>is update of th</w:t>
      </w:r>
      <w:r>
        <w:t>e forward allocation work program.</w:t>
      </w:r>
    </w:p>
    <w:p w14:paraId="413CC284" w14:textId="77777777" w:rsidR="003F4B80" w:rsidRPr="0054540D" w:rsidRDefault="003F4B80">
      <w:pPr>
        <w:rPr>
          <w:i/>
        </w:rPr>
      </w:pPr>
      <w:r w:rsidRPr="008459DF">
        <w:t>We have developed a revised series of timing and sequencing options for allocations planned over the next few years</w:t>
      </w:r>
      <w:r w:rsidR="00CD20C4">
        <w:t>,</w:t>
      </w:r>
      <w:r w:rsidR="00586644" w:rsidRPr="007678D0">
        <w:t xml:space="preserve"> which respond to the feedback we received in submissions</w:t>
      </w:r>
      <w:r w:rsidRPr="007678D0" w:rsidDel="00586644">
        <w:t>.</w:t>
      </w:r>
    </w:p>
    <w:p w14:paraId="52FF1593" w14:textId="77777777" w:rsidR="003F4B80" w:rsidRDefault="003F4B80" w:rsidP="002E32BA">
      <w:pPr>
        <w:pStyle w:val="Heading2"/>
        <w:keepLines/>
      </w:pPr>
      <w:bookmarkStart w:id="291" w:name="_Toc510104963"/>
      <w:bookmarkStart w:id="292" w:name="_Toc510105760"/>
      <w:bookmarkStart w:id="293" w:name="_Toc510795092"/>
      <w:bookmarkStart w:id="294" w:name="_Toc511716293"/>
      <w:bookmarkStart w:id="295" w:name="_Toc511719104"/>
      <w:bookmarkStart w:id="296" w:name="_Toc522794097"/>
      <w:bookmarkStart w:id="297" w:name="_Toc524517103"/>
      <w:r w:rsidRPr="005759E7">
        <w:lastRenderedPageBreak/>
        <w:t>Feedback</w:t>
      </w:r>
      <w:bookmarkEnd w:id="291"/>
      <w:bookmarkEnd w:id="292"/>
      <w:bookmarkEnd w:id="293"/>
      <w:bookmarkEnd w:id="294"/>
      <w:bookmarkEnd w:id="295"/>
      <w:bookmarkEnd w:id="296"/>
      <w:bookmarkEnd w:id="297"/>
      <w:r w:rsidRPr="005759E7">
        <w:t xml:space="preserve"> </w:t>
      </w:r>
    </w:p>
    <w:p w14:paraId="1EEB7728" w14:textId="77777777" w:rsidR="005C4341" w:rsidRDefault="007C7D28" w:rsidP="002E32BA">
      <w:pPr>
        <w:keepNext/>
        <w:keepLines/>
      </w:pPr>
      <w:r>
        <w:t xml:space="preserve">A range of </w:t>
      </w:r>
      <w:r w:rsidR="00327F18">
        <w:t>differing views were expressed about the timing and sequencing of particular bands for allocation.</w:t>
      </w:r>
      <w:r w:rsidR="005C4341">
        <w:t xml:space="preserve"> A summary of the issues raised on band prioritisation is outlined in Table </w:t>
      </w:r>
      <w:r w:rsidR="00911DA3">
        <w:t>14</w:t>
      </w:r>
      <w:r w:rsidR="00CD20C4">
        <w:t>.</w:t>
      </w:r>
      <w:r w:rsidR="005C4341">
        <w:t xml:space="preserve"> </w:t>
      </w:r>
    </w:p>
    <w:p w14:paraId="4A46E956" w14:textId="77777777" w:rsidR="00CA46C1" w:rsidRDefault="00327F18" w:rsidP="002E32BA">
      <w:pPr>
        <w:keepNext/>
        <w:keepLines/>
        <w:sectPr w:rsidR="00CA46C1" w:rsidSect="005A6EAB">
          <w:headerReference w:type="even" r:id="rId53"/>
          <w:headerReference w:type="default" r:id="rId54"/>
          <w:footerReference w:type="even" r:id="rId55"/>
          <w:footerReference w:type="default" r:id="rId56"/>
          <w:pgSz w:w="11906" w:h="16838" w:code="9"/>
          <w:pgMar w:top="1945" w:right="3101" w:bottom="1134" w:left="1134" w:header="709" w:footer="119" w:gutter="0"/>
          <w:pgNumType w:start="1"/>
          <w:cols w:space="708"/>
          <w:docGrid w:linePitch="360"/>
        </w:sectPr>
      </w:pPr>
      <w:r>
        <w:t xml:space="preserve">As a consequence of allocation activities, </w:t>
      </w:r>
      <w:r w:rsidR="00C543D2">
        <w:t>a number of</w:t>
      </w:r>
      <w:r>
        <w:t xml:space="preserve"> submitters </w:t>
      </w:r>
      <w:r w:rsidR="005C4341">
        <w:t xml:space="preserve">also </w:t>
      </w:r>
      <w:r>
        <w:t xml:space="preserve">encouraged the ACMA to consider defragmentation </w:t>
      </w:r>
      <w:r w:rsidR="00C543D2">
        <w:t xml:space="preserve">processes to </w:t>
      </w:r>
      <w:r>
        <w:t xml:space="preserve">optimise allocations across </w:t>
      </w:r>
      <w:r w:rsidR="00C543D2">
        <w:t>licensees</w:t>
      </w:r>
      <w:r w:rsidR="00C17DA2">
        <w:t>’</w:t>
      </w:r>
      <w:r w:rsidR="00C543D2">
        <w:t xml:space="preserve"> </w:t>
      </w:r>
      <w:r>
        <w:t>existing and newly acquired spectrum holdings.</w:t>
      </w:r>
      <w:r w:rsidR="00DC2776">
        <w:t xml:space="preserve"> The ACMA expects to do further work this year on defragmentation options for existing holdings in the 900 M</w:t>
      </w:r>
      <w:r w:rsidR="00C17DA2">
        <w:t>H</w:t>
      </w:r>
      <w:r w:rsidR="00DC2776">
        <w:t>z band and the 3.4</w:t>
      </w:r>
      <w:r w:rsidR="00CD20C4">
        <w:t>–</w:t>
      </w:r>
      <w:r w:rsidR="00DC2776">
        <w:t>3.5</w:t>
      </w:r>
      <w:r w:rsidR="001B1A0B">
        <w:t>75</w:t>
      </w:r>
      <w:r w:rsidR="00DC2776">
        <w:t xml:space="preserve"> G</w:t>
      </w:r>
      <w:r w:rsidR="00C17DA2">
        <w:t>H</w:t>
      </w:r>
      <w:r w:rsidR="00DC2776">
        <w:t>z bands</w:t>
      </w:r>
      <w:r w:rsidR="00196553">
        <w:t xml:space="preserve">. </w:t>
      </w:r>
    </w:p>
    <w:p w14:paraId="1D725DBD" w14:textId="77777777" w:rsidR="00CA46C1" w:rsidRDefault="002A612D" w:rsidP="00C17DA2">
      <w:pPr>
        <w:pStyle w:val="ACMATableHeader"/>
      </w:pPr>
      <w:r>
        <w:lastRenderedPageBreak/>
        <w:t>Summary of submissions</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511"/>
        <w:gridCol w:w="2288"/>
        <w:gridCol w:w="2238"/>
        <w:gridCol w:w="2563"/>
        <w:gridCol w:w="2032"/>
        <w:gridCol w:w="2117"/>
      </w:tblGrid>
      <w:tr w:rsidR="0098207E" w:rsidRPr="005A4D59" w14:paraId="34FD62E5" w14:textId="77777777" w:rsidTr="00911DA3">
        <w:trPr>
          <w:tblHeader/>
        </w:trPr>
        <w:tc>
          <w:tcPr>
            <w:tcW w:w="913" w:type="pct"/>
            <w:shd w:val="clear" w:color="auto" w:fill="404040" w:themeFill="text1" w:themeFillTint="BF"/>
          </w:tcPr>
          <w:p w14:paraId="4782D8CD" w14:textId="77777777" w:rsidR="0098207E" w:rsidRPr="005A4D59" w:rsidRDefault="0098207E" w:rsidP="00B747E1">
            <w:pPr>
              <w:pStyle w:val="TableHeading"/>
            </w:pPr>
            <w:r>
              <w:t>Submitter</w:t>
            </w:r>
          </w:p>
        </w:tc>
        <w:tc>
          <w:tcPr>
            <w:tcW w:w="832" w:type="pct"/>
            <w:shd w:val="clear" w:color="auto" w:fill="404040" w:themeFill="text1" w:themeFillTint="BF"/>
          </w:tcPr>
          <w:p w14:paraId="01C412B5" w14:textId="77777777" w:rsidR="0098207E" w:rsidRPr="005A4D59" w:rsidRDefault="0098207E" w:rsidP="00B747E1">
            <w:pPr>
              <w:pStyle w:val="TableHeading"/>
            </w:pPr>
            <w:r>
              <w:t>26 GHz</w:t>
            </w:r>
          </w:p>
        </w:tc>
        <w:tc>
          <w:tcPr>
            <w:tcW w:w="814" w:type="pct"/>
            <w:shd w:val="clear" w:color="auto" w:fill="404040" w:themeFill="text1" w:themeFillTint="BF"/>
          </w:tcPr>
          <w:p w14:paraId="5A0E6240" w14:textId="77777777" w:rsidR="0098207E" w:rsidRPr="005A4D59" w:rsidRDefault="0098207E" w:rsidP="00B747E1">
            <w:pPr>
              <w:pStyle w:val="TableHeading"/>
            </w:pPr>
            <w:r>
              <w:t>900 MHz</w:t>
            </w:r>
          </w:p>
        </w:tc>
        <w:tc>
          <w:tcPr>
            <w:tcW w:w="932" w:type="pct"/>
            <w:shd w:val="clear" w:color="auto" w:fill="404040" w:themeFill="text1" w:themeFillTint="BF"/>
          </w:tcPr>
          <w:p w14:paraId="74DC0971" w14:textId="77777777" w:rsidR="0098207E" w:rsidRPr="005A4D59" w:rsidRDefault="0098207E" w:rsidP="00B747E1">
            <w:pPr>
              <w:pStyle w:val="TableHeading"/>
            </w:pPr>
            <w:r>
              <w:t>850 MHz expansion band</w:t>
            </w:r>
          </w:p>
        </w:tc>
        <w:tc>
          <w:tcPr>
            <w:tcW w:w="739" w:type="pct"/>
            <w:shd w:val="clear" w:color="auto" w:fill="404040" w:themeFill="text1" w:themeFillTint="BF"/>
          </w:tcPr>
          <w:p w14:paraId="38631CE0" w14:textId="77777777" w:rsidR="0098207E" w:rsidRDefault="0098207E" w:rsidP="00B747E1">
            <w:pPr>
              <w:pStyle w:val="TableHeading"/>
            </w:pPr>
            <w:r>
              <w:t>1.5 GHz</w:t>
            </w:r>
          </w:p>
        </w:tc>
        <w:tc>
          <w:tcPr>
            <w:tcW w:w="770" w:type="pct"/>
            <w:shd w:val="clear" w:color="auto" w:fill="404040" w:themeFill="text1" w:themeFillTint="BF"/>
          </w:tcPr>
          <w:p w14:paraId="4D579BB6" w14:textId="77777777" w:rsidR="0098207E" w:rsidRDefault="0098207E" w:rsidP="00B747E1">
            <w:pPr>
              <w:pStyle w:val="TableHeading"/>
            </w:pPr>
            <w:r>
              <w:t>Other suggestions</w:t>
            </w:r>
          </w:p>
        </w:tc>
      </w:tr>
      <w:tr w:rsidR="00EE3EFE" w:rsidRPr="00EF20E4" w14:paraId="6A9C2D62" w14:textId="77777777" w:rsidTr="00911DA3">
        <w:tc>
          <w:tcPr>
            <w:tcW w:w="913" w:type="pct"/>
            <w:shd w:val="clear" w:color="auto" w:fill="F2F2F2" w:themeFill="background1" w:themeFillShade="F2"/>
          </w:tcPr>
          <w:p w14:paraId="77C7B37E" w14:textId="77777777" w:rsidR="00EE3EFE" w:rsidRPr="00CD20C4" w:rsidRDefault="00EE3EFE" w:rsidP="00CA46C1">
            <w:pPr>
              <w:spacing w:after="0"/>
              <w:rPr>
                <w:rFonts w:cs="Arial"/>
                <w:b/>
                <w:szCs w:val="20"/>
              </w:rPr>
            </w:pPr>
            <w:r w:rsidRPr="00CD20C4">
              <w:rPr>
                <w:rFonts w:cs="Arial"/>
                <w:b/>
                <w:szCs w:val="20"/>
              </w:rPr>
              <w:t>ACCC</w:t>
            </w:r>
          </w:p>
        </w:tc>
        <w:tc>
          <w:tcPr>
            <w:tcW w:w="832" w:type="pct"/>
            <w:shd w:val="clear" w:color="auto" w:fill="F2F2F2" w:themeFill="background1" w:themeFillShade="F2"/>
          </w:tcPr>
          <w:p w14:paraId="433DF3D7" w14:textId="77777777" w:rsidR="00EE3EFE" w:rsidRPr="00CD20C4" w:rsidRDefault="00CD20C4" w:rsidP="00F63A10">
            <w:pPr>
              <w:autoSpaceDE w:val="0"/>
              <w:autoSpaceDN w:val="0"/>
              <w:adjustRightInd w:val="0"/>
              <w:spacing w:after="0" w:line="240" w:lineRule="auto"/>
              <w:rPr>
                <w:rFonts w:cs="Arial"/>
                <w:color w:val="000000"/>
                <w:szCs w:val="20"/>
              </w:rPr>
            </w:pPr>
            <w:r w:rsidRPr="00CD20C4">
              <w:rPr>
                <w:rFonts w:cs="Arial"/>
                <w:color w:val="000000"/>
                <w:szCs w:val="20"/>
              </w:rPr>
              <w:t>T</w:t>
            </w:r>
            <w:r w:rsidR="00EE3EFE" w:rsidRPr="00CD20C4">
              <w:rPr>
                <w:rFonts w:cs="Arial"/>
                <w:color w:val="000000"/>
                <w:szCs w:val="20"/>
              </w:rPr>
              <w:t>he ACCC considers that from both technical and competition perspectives, it would be</w:t>
            </w:r>
            <w:r w:rsidR="004959E5" w:rsidRPr="00CD20C4">
              <w:rPr>
                <w:rFonts w:cs="Arial"/>
                <w:color w:val="000000"/>
                <w:szCs w:val="20"/>
              </w:rPr>
              <w:t xml:space="preserve"> </w:t>
            </w:r>
            <w:r w:rsidR="00EE3EFE" w:rsidRPr="00CD20C4">
              <w:rPr>
                <w:rFonts w:cs="Arial"/>
                <w:color w:val="000000"/>
                <w:szCs w:val="20"/>
              </w:rPr>
              <w:t xml:space="preserve">appropriate that the planning process for </w:t>
            </w:r>
            <w:r w:rsidR="00EE3EFE" w:rsidRPr="00CD20C4" w:rsidDel="00F63A10">
              <w:rPr>
                <w:rFonts w:cs="Arial"/>
                <w:color w:val="000000"/>
                <w:szCs w:val="20"/>
              </w:rPr>
              <w:t>26</w:t>
            </w:r>
            <w:r w:rsidR="00F63A10" w:rsidRPr="00CD20C4">
              <w:rPr>
                <w:rFonts w:cs="Arial"/>
                <w:color w:val="000000"/>
                <w:szCs w:val="20"/>
              </w:rPr>
              <w:t> </w:t>
            </w:r>
            <w:r w:rsidR="00EE3EFE" w:rsidRPr="00CD20C4">
              <w:rPr>
                <w:rFonts w:cs="Arial"/>
                <w:color w:val="000000"/>
                <w:szCs w:val="20"/>
              </w:rPr>
              <w:t>GHz band ensures that the maximum amount of</w:t>
            </w:r>
            <w:r w:rsidR="008445FB" w:rsidRPr="00CD20C4">
              <w:rPr>
                <w:rFonts w:cs="Arial"/>
                <w:color w:val="000000"/>
                <w:szCs w:val="20"/>
              </w:rPr>
              <w:t xml:space="preserve"> </w:t>
            </w:r>
            <w:r w:rsidR="00EE3EFE" w:rsidRPr="00CD20C4">
              <w:rPr>
                <w:rFonts w:cs="Arial"/>
                <w:color w:val="000000"/>
                <w:szCs w:val="20"/>
              </w:rPr>
              <w:t>spectrum in the band could be allocated together.</w:t>
            </w:r>
          </w:p>
        </w:tc>
        <w:tc>
          <w:tcPr>
            <w:tcW w:w="814" w:type="pct"/>
            <w:shd w:val="clear" w:color="auto" w:fill="F2F2F2" w:themeFill="background1" w:themeFillShade="F2"/>
          </w:tcPr>
          <w:p w14:paraId="3AC05DBE" w14:textId="77777777" w:rsidR="00EE3EFE" w:rsidRPr="00CD20C4" w:rsidRDefault="00CD20C4" w:rsidP="00C17DA2">
            <w:pPr>
              <w:autoSpaceDE w:val="0"/>
              <w:autoSpaceDN w:val="0"/>
              <w:adjustRightInd w:val="0"/>
              <w:spacing w:after="0" w:line="240" w:lineRule="auto"/>
              <w:rPr>
                <w:rFonts w:cs="Arial"/>
                <w:szCs w:val="20"/>
              </w:rPr>
            </w:pPr>
            <w:r w:rsidRPr="00CD20C4">
              <w:rPr>
                <w:rFonts w:cs="Arial"/>
                <w:szCs w:val="20"/>
              </w:rPr>
              <w:t>T</w:t>
            </w:r>
            <w:r w:rsidR="00EE3EFE" w:rsidRPr="00CD20C4">
              <w:rPr>
                <w:rFonts w:cs="Arial"/>
                <w:szCs w:val="20"/>
              </w:rPr>
              <w:t>he ACCC supports band</w:t>
            </w:r>
            <w:r w:rsidR="000E7BB8" w:rsidRPr="00CD20C4">
              <w:rPr>
                <w:rFonts w:cs="Arial"/>
                <w:szCs w:val="20"/>
              </w:rPr>
              <w:t xml:space="preserve"> </w:t>
            </w:r>
            <w:r w:rsidR="00EE3EFE" w:rsidRPr="00CD20C4">
              <w:rPr>
                <w:rFonts w:cs="Arial"/>
                <w:szCs w:val="20"/>
              </w:rPr>
              <w:t xml:space="preserve">clearance and price-based allocation via auction for the 900 MHz band. </w:t>
            </w:r>
          </w:p>
        </w:tc>
        <w:tc>
          <w:tcPr>
            <w:tcW w:w="932" w:type="pct"/>
            <w:shd w:val="clear" w:color="auto" w:fill="F2F2F2" w:themeFill="background1" w:themeFillShade="F2"/>
          </w:tcPr>
          <w:p w14:paraId="00D90550" w14:textId="77777777" w:rsidR="00EE3EFE" w:rsidRPr="00CD20C4" w:rsidRDefault="00EE3EFE" w:rsidP="00CA46C1">
            <w:pPr>
              <w:spacing w:after="40"/>
              <w:rPr>
                <w:rFonts w:cs="Arial"/>
                <w:szCs w:val="20"/>
              </w:rPr>
            </w:pPr>
          </w:p>
        </w:tc>
        <w:tc>
          <w:tcPr>
            <w:tcW w:w="739" w:type="pct"/>
            <w:shd w:val="clear" w:color="auto" w:fill="F2F2F2" w:themeFill="background1" w:themeFillShade="F2"/>
          </w:tcPr>
          <w:p w14:paraId="20AD85E3" w14:textId="77777777" w:rsidR="00EE3EFE" w:rsidRPr="00CD20C4" w:rsidRDefault="00EE3EFE" w:rsidP="00CA46C1">
            <w:pPr>
              <w:spacing w:after="40"/>
              <w:rPr>
                <w:rFonts w:cs="Arial"/>
                <w:szCs w:val="20"/>
              </w:rPr>
            </w:pPr>
          </w:p>
        </w:tc>
        <w:tc>
          <w:tcPr>
            <w:tcW w:w="770" w:type="pct"/>
            <w:shd w:val="clear" w:color="auto" w:fill="F2F2F2" w:themeFill="background1" w:themeFillShade="F2"/>
          </w:tcPr>
          <w:p w14:paraId="3BF6154E" w14:textId="77777777" w:rsidR="00EE3EFE" w:rsidRPr="00CD20C4" w:rsidRDefault="00EE3EFE" w:rsidP="00CA46C1">
            <w:pPr>
              <w:spacing w:after="40"/>
              <w:rPr>
                <w:rFonts w:cs="Arial"/>
                <w:szCs w:val="20"/>
              </w:rPr>
            </w:pPr>
          </w:p>
        </w:tc>
      </w:tr>
      <w:tr w:rsidR="0098207E" w:rsidRPr="00EF20E4" w14:paraId="27B1D24C" w14:textId="77777777" w:rsidTr="00911DA3">
        <w:tc>
          <w:tcPr>
            <w:tcW w:w="913" w:type="pct"/>
            <w:shd w:val="clear" w:color="auto" w:fill="auto"/>
          </w:tcPr>
          <w:p w14:paraId="0485FB3F" w14:textId="77777777" w:rsidR="0098207E" w:rsidRPr="00CD20C4" w:rsidRDefault="00742870" w:rsidP="00CA46C1">
            <w:pPr>
              <w:spacing w:after="0"/>
              <w:rPr>
                <w:rFonts w:cs="Arial"/>
                <w:b/>
                <w:szCs w:val="20"/>
              </w:rPr>
            </w:pPr>
            <w:r w:rsidRPr="00CD20C4">
              <w:rPr>
                <w:rFonts w:cs="Arial"/>
                <w:b/>
                <w:szCs w:val="20"/>
              </w:rPr>
              <w:t>AMTA</w:t>
            </w:r>
          </w:p>
        </w:tc>
        <w:tc>
          <w:tcPr>
            <w:tcW w:w="832" w:type="pct"/>
            <w:shd w:val="clear" w:color="auto" w:fill="auto"/>
          </w:tcPr>
          <w:p w14:paraId="23044FEB" w14:textId="77777777" w:rsidR="0098207E" w:rsidRPr="00CD20C4" w:rsidRDefault="00EE3EFE" w:rsidP="00C17DA2">
            <w:pPr>
              <w:autoSpaceDE w:val="0"/>
              <w:autoSpaceDN w:val="0"/>
              <w:adjustRightInd w:val="0"/>
              <w:spacing w:after="0" w:line="240" w:lineRule="auto"/>
              <w:rPr>
                <w:rFonts w:cs="Arial"/>
                <w:szCs w:val="20"/>
              </w:rPr>
            </w:pPr>
            <w:r w:rsidRPr="00CD20C4">
              <w:rPr>
                <w:rFonts w:cs="Arial"/>
                <w:color w:val="000000"/>
                <w:szCs w:val="20"/>
              </w:rPr>
              <w:t>AMTA observes that progress on planning options for 26</w:t>
            </w:r>
            <w:r w:rsidR="00CC06D8" w:rsidRPr="00CD20C4">
              <w:rPr>
                <w:rFonts w:cs="Arial"/>
                <w:color w:val="000000"/>
                <w:szCs w:val="20"/>
              </w:rPr>
              <w:t xml:space="preserve"> </w:t>
            </w:r>
            <w:r w:rsidRPr="00CD20C4">
              <w:rPr>
                <w:rFonts w:cs="Arial"/>
                <w:color w:val="000000"/>
                <w:szCs w:val="20"/>
              </w:rPr>
              <w:t>GHz have slowed. AMTA supports the ACMA making provisions for potential licensees to evaluate high bandwidth mmWave bands in dense urban areas where they are likely to be deployed.</w:t>
            </w:r>
          </w:p>
        </w:tc>
        <w:tc>
          <w:tcPr>
            <w:tcW w:w="814" w:type="pct"/>
            <w:shd w:val="clear" w:color="auto" w:fill="auto"/>
          </w:tcPr>
          <w:p w14:paraId="777AAE67" w14:textId="77777777" w:rsidR="0098207E" w:rsidRPr="00CD20C4" w:rsidRDefault="00EE3EFE" w:rsidP="007D4DAC">
            <w:pPr>
              <w:spacing w:after="0"/>
              <w:rPr>
                <w:rFonts w:cs="Arial"/>
                <w:szCs w:val="20"/>
              </w:rPr>
            </w:pPr>
            <w:r w:rsidRPr="00CD20C4">
              <w:rPr>
                <w:rFonts w:cs="Arial"/>
                <w:color w:val="000000"/>
                <w:szCs w:val="20"/>
              </w:rPr>
              <w:t xml:space="preserve">AMTA members </w:t>
            </w:r>
            <w:r w:rsidR="00CD20C4">
              <w:rPr>
                <w:rFonts w:cs="Arial"/>
                <w:color w:val="000000"/>
                <w:szCs w:val="20"/>
              </w:rPr>
              <w:t>ha</w:t>
            </w:r>
            <w:r w:rsidR="001E41D5">
              <w:rPr>
                <w:rFonts w:cs="Arial"/>
                <w:color w:val="000000"/>
                <w:szCs w:val="20"/>
              </w:rPr>
              <w:t>ve</w:t>
            </w:r>
            <w:r w:rsidRPr="00CD20C4">
              <w:rPr>
                <w:rFonts w:cs="Arial"/>
                <w:color w:val="000000"/>
                <w:szCs w:val="20"/>
              </w:rPr>
              <w:t xml:space="preserve"> differing views on the proposed ACMA approach to the reconfiguration of the 890</w:t>
            </w:r>
            <w:r w:rsidR="00CD20C4">
              <w:rPr>
                <w:rFonts w:cs="Arial"/>
                <w:color w:val="000000"/>
                <w:szCs w:val="20"/>
              </w:rPr>
              <w:t>–</w:t>
            </w:r>
            <w:r w:rsidRPr="00CD20C4">
              <w:rPr>
                <w:rFonts w:cs="Arial"/>
                <w:color w:val="000000"/>
                <w:szCs w:val="20"/>
              </w:rPr>
              <w:t>915/935</w:t>
            </w:r>
            <w:r w:rsidR="00CD20C4">
              <w:rPr>
                <w:rFonts w:cs="Arial"/>
                <w:color w:val="000000"/>
                <w:szCs w:val="20"/>
              </w:rPr>
              <w:t>–</w:t>
            </w:r>
            <w:r w:rsidRPr="00CD20C4">
              <w:rPr>
                <w:rFonts w:cs="Arial"/>
                <w:color w:val="000000"/>
                <w:szCs w:val="20"/>
              </w:rPr>
              <w:t xml:space="preserve">960 MHz band </w:t>
            </w:r>
            <w:r w:rsidR="00991CD9">
              <w:rPr>
                <w:rFonts w:cs="Arial"/>
                <w:color w:val="000000"/>
                <w:szCs w:val="20"/>
              </w:rPr>
              <w:t>m</w:t>
            </w:r>
            <w:r w:rsidR="00327EA2">
              <w:rPr>
                <w:rFonts w:cs="Arial"/>
                <w:color w:val="000000"/>
                <w:szCs w:val="20"/>
              </w:rPr>
              <w:t>ade</w:t>
            </w:r>
            <w:r w:rsidRPr="00CD20C4">
              <w:rPr>
                <w:rFonts w:cs="Arial"/>
                <w:color w:val="000000"/>
                <w:szCs w:val="20"/>
              </w:rPr>
              <w:t xml:space="preserve"> their own individual submissions.</w:t>
            </w:r>
          </w:p>
        </w:tc>
        <w:tc>
          <w:tcPr>
            <w:tcW w:w="932" w:type="pct"/>
            <w:shd w:val="clear" w:color="auto" w:fill="auto"/>
          </w:tcPr>
          <w:p w14:paraId="3881A2EC" w14:textId="77777777" w:rsidR="0098207E" w:rsidRPr="00CD20C4" w:rsidRDefault="0098207E" w:rsidP="00CA46C1">
            <w:pPr>
              <w:spacing w:after="40"/>
              <w:rPr>
                <w:rFonts w:cs="Arial"/>
                <w:szCs w:val="20"/>
              </w:rPr>
            </w:pPr>
          </w:p>
        </w:tc>
        <w:tc>
          <w:tcPr>
            <w:tcW w:w="739" w:type="pct"/>
          </w:tcPr>
          <w:p w14:paraId="60541B2A" w14:textId="77777777" w:rsidR="0098207E" w:rsidRPr="00CD20C4" w:rsidRDefault="00EE3EFE" w:rsidP="00F63A10">
            <w:pPr>
              <w:spacing w:after="40"/>
              <w:rPr>
                <w:rFonts w:cs="Arial"/>
                <w:szCs w:val="20"/>
              </w:rPr>
            </w:pPr>
            <w:r w:rsidRPr="00CD20C4">
              <w:rPr>
                <w:rFonts w:cs="Arial"/>
                <w:color w:val="000000"/>
                <w:szCs w:val="20"/>
              </w:rPr>
              <w:t>AMTA supports the progression of the 1.5</w:t>
            </w:r>
            <w:r w:rsidR="00F63A10" w:rsidRPr="00CD20C4">
              <w:rPr>
                <w:rFonts w:cs="Arial"/>
                <w:color w:val="000000"/>
                <w:szCs w:val="20"/>
              </w:rPr>
              <w:t> </w:t>
            </w:r>
            <w:r w:rsidRPr="00CD20C4">
              <w:rPr>
                <w:rFonts w:cs="Arial"/>
                <w:color w:val="000000"/>
                <w:szCs w:val="20"/>
              </w:rPr>
              <w:t>GHz band to the preliminary planning stage.</w:t>
            </w:r>
          </w:p>
        </w:tc>
        <w:tc>
          <w:tcPr>
            <w:tcW w:w="770" w:type="pct"/>
          </w:tcPr>
          <w:p w14:paraId="15A2F586" w14:textId="77777777" w:rsidR="0098207E" w:rsidRPr="00CD20C4" w:rsidRDefault="0098207E" w:rsidP="00CA46C1">
            <w:pPr>
              <w:spacing w:after="40"/>
              <w:rPr>
                <w:rFonts w:cs="Arial"/>
                <w:szCs w:val="20"/>
              </w:rPr>
            </w:pPr>
          </w:p>
        </w:tc>
      </w:tr>
      <w:tr w:rsidR="0098207E" w:rsidRPr="00EF20E4" w14:paraId="40B245AD" w14:textId="77777777" w:rsidTr="00911DA3">
        <w:tc>
          <w:tcPr>
            <w:tcW w:w="913" w:type="pct"/>
            <w:shd w:val="clear" w:color="auto" w:fill="F2F2F2" w:themeFill="background1" w:themeFillShade="F2"/>
          </w:tcPr>
          <w:p w14:paraId="6BDD856C" w14:textId="77777777" w:rsidR="0098207E" w:rsidRPr="00CD20C4" w:rsidRDefault="00742870" w:rsidP="00CA46C1">
            <w:pPr>
              <w:spacing w:after="0"/>
              <w:rPr>
                <w:rFonts w:cs="Arial"/>
                <w:b/>
                <w:szCs w:val="20"/>
              </w:rPr>
            </w:pPr>
            <w:r w:rsidRPr="00CD20C4">
              <w:rPr>
                <w:rFonts w:cs="Arial"/>
                <w:b/>
                <w:szCs w:val="20"/>
              </w:rPr>
              <w:t>ARCIA</w:t>
            </w:r>
          </w:p>
        </w:tc>
        <w:tc>
          <w:tcPr>
            <w:tcW w:w="832" w:type="pct"/>
            <w:shd w:val="clear" w:color="auto" w:fill="F2F2F2" w:themeFill="background1" w:themeFillShade="F2"/>
          </w:tcPr>
          <w:p w14:paraId="2C547BF1" w14:textId="77777777" w:rsidR="0098207E" w:rsidRPr="00CD20C4" w:rsidRDefault="0098207E" w:rsidP="00CA46C1">
            <w:pPr>
              <w:spacing w:after="0"/>
              <w:rPr>
                <w:rFonts w:cs="Arial"/>
                <w:szCs w:val="20"/>
              </w:rPr>
            </w:pPr>
          </w:p>
        </w:tc>
        <w:tc>
          <w:tcPr>
            <w:tcW w:w="814" w:type="pct"/>
            <w:shd w:val="clear" w:color="auto" w:fill="F2F2F2" w:themeFill="background1" w:themeFillShade="F2"/>
          </w:tcPr>
          <w:p w14:paraId="4023A232" w14:textId="77777777" w:rsidR="0098207E" w:rsidRPr="00CD20C4" w:rsidRDefault="0098207E" w:rsidP="00CA46C1">
            <w:pPr>
              <w:spacing w:after="0"/>
              <w:rPr>
                <w:rFonts w:cs="Arial"/>
                <w:szCs w:val="20"/>
              </w:rPr>
            </w:pPr>
          </w:p>
        </w:tc>
        <w:tc>
          <w:tcPr>
            <w:tcW w:w="932" w:type="pct"/>
            <w:shd w:val="clear" w:color="auto" w:fill="F2F2F2" w:themeFill="background1" w:themeFillShade="F2"/>
          </w:tcPr>
          <w:p w14:paraId="3212233E" w14:textId="77777777" w:rsidR="0098207E" w:rsidRPr="00CD20C4" w:rsidRDefault="0098207E" w:rsidP="00CA46C1">
            <w:pPr>
              <w:spacing w:after="40"/>
              <w:rPr>
                <w:rFonts w:cs="Arial"/>
                <w:szCs w:val="20"/>
              </w:rPr>
            </w:pPr>
          </w:p>
        </w:tc>
        <w:tc>
          <w:tcPr>
            <w:tcW w:w="739" w:type="pct"/>
            <w:shd w:val="clear" w:color="auto" w:fill="F2F2F2" w:themeFill="background1" w:themeFillShade="F2"/>
          </w:tcPr>
          <w:p w14:paraId="7CDEDB82" w14:textId="77777777" w:rsidR="0098207E" w:rsidRPr="00CD20C4" w:rsidRDefault="000C7185" w:rsidP="00CA46C1">
            <w:pPr>
              <w:spacing w:after="40"/>
              <w:rPr>
                <w:rFonts w:cs="Arial"/>
                <w:szCs w:val="20"/>
              </w:rPr>
            </w:pPr>
            <w:r w:rsidRPr="00CD20C4">
              <w:rPr>
                <w:rFonts w:cs="Arial"/>
                <w:szCs w:val="20"/>
              </w:rPr>
              <w:t xml:space="preserve">ARCIA </w:t>
            </w:r>
            <w:r w:rsidR="00CC6950" w:rsidRPr="00CD20C4">
              <w:rPr>
                <w:rFonts w:cs="Arial"/>
                <w:szCs w:val="20"/>
              </w:rPr>
              <w:t>suggest</w:t>
            </w:r>
            <w:r w:rsidRPr="00CD20C4">
              <w:rPr>
                <w:rFonts w:cs="Arial"/>
                <w:szCs w:val="20"/>
              </w:rPr>
              <w:t>s</w:t>
            </w:r>
            <w:r w:rsidR="00CC6950" w:rsidRPr="00CD20C4">
              <w:rPr>
                <w:rFonts w:cs="Arial"/>
                <w:szCs w:val="20"/>
              </w:rPr>
              <w:t xml:space="preserve"> that the 1.5 GHz band could be ideal for a different allocation style and be shared between private LTE networks and the fixed wireless broadband community.</w:t>
            </w:r>
          </w:p>
        </w:tc>
        <w:tc>
          <w:tcPr>
            <w:tcW w:w="770" w:type="pct"/>
            <w:shd w:val="clear" w:color="auto" w:fill="F2F2F2" w:themeFill="background1" w:themeFillShade="F2"/>
          </w:tcPr>
          <w:p w14:paraId="0C981034" w14:textId="77777777" w:rsidR="0098207E" w:rsidRPr="00CD20C4" w:rsidRDefault="0098207E" w:rsidP="00CA46C1">
            <w:pPr>
              <w:spacing w:after="40"/>
              <w:rPr>
                <w:rFonts w:cs="Arial"/>
                <w:szCs w:val="20"/>
              </w:rPr>
            </w:pPr>
          </w:p>
        </w:tc>
      </w:tr>
      <w:tr w:rsidR="0098207E" w:rsidRPr="00EF20E4" w14:paraId="68AB01C7" w14:textId="77777777" w:rsidTr="00911DA3">
        <w:tc>
          <w:tcPr>
            <w:tcW w:w="913" w:type="pct"/>
            <w:shd w:val="clear" w:color="auto" w:fill="auto"/>
          </w:tcPr>
          <w:p w14:paraId="1227CCD3" w14:textId="77777777" w:rsidR="0098207E" w:rsidRPr="00CD20C4" w:rsidRDefault="00746F0C" w:rsidP="00CA46C1">
            <w:pPr>
              <w:spacing w:after="0"/>
              <w:rPr>
                <w:rFonts w:cs="Arial"/>
                <w:b/>
                <w:szCs w:val="20"/>
              </w:rPr>
            </w:pPr>
            <w:r w:rsidRPr="00CD20C4">
              <w:rPr>
                <w:rFonts w:cs="Arial"/>
                <w:b/>
                <w:szCs w:val="20"/>
              </w:rPr>
              <w:lastRenderedPageBreak/>
              <w:t>Comm</w:t>
            </w:r>
            <w:r>
              <w:rPr>
                <w:rFonts w:cs="Arial"/>
                <w:b/>
                <w:szCs w:val="20"/>
              </w:rPr>
              <w:t xml:space="preserve">unications </w:t>
            </w:r>
            <w:r w:rsidR="00742870" w:rsidRPr="00CD20C4">
              <w:rPr>
                <w:rFonts w:cs="Arial"/>
                <w:b/>
                <w:szCs w:val="20"/>
              </w:rPr>
              <w:t>Alliance</w:t>
            </w:r>
          </w:p>
        </w:tc>
        <w:tc>
          <w:tcPr>
            <w:tcW w:w="832" w:type="pct"/>
            <w:shd w:val="clear" w:color="auto" w:fill="auto"/>
          </w:tcPr>
          <w:p w14:paraId="1BE97F5D" w14:textId="77777777" w:rsidR="0098207E" w:rsidRPr="00CD20C4" w:rsidRDefault="000E7BB8" w:rsidP="00CC06D8">
            <w:pPr>
              <w:spacing w:after="0"/>
              <w:rPr>
                <w:rFonts w:cs="Arial"/>
                <w:szCs w:val="20"/>
              </w:rPr>
            </w:pPr>
            <w:r w:rsidRPr="00CD20C4">
              <w:rPr>
                <w:rFonts w:cs="Arial"/>
                <w:szCs w:val="20"/>
              </w:rPr>
              <w:t>T</w:t>
            </w:r>
            <w:r w:rsidR="00CC6950" w:rsidRPr="00CD20C4">
              <w:rPr>
                <w:rFonts w:cs="Arial"/>
                <w:szCs w:val="20"/>
              </w:rPr>
              <w:t>he S</w:t>
            </w:r>
            <w:r w:rsidR="004624AA" w:rsidRPr="00CD20C4">
              <w:rPr>
                <w:rFonts w:cs="Arial"/>
                <w:szCs w:val="20"/>
              </w:rPr>
              <w:t>atellite Services Working Group (S</w:t>
            </w:r>
            <w:r w:rsidR="00CC6950" w:rsidRPr="00CD20C4">
              <w:rPr>
                <w:rFonts w:cs="Arial"/>
                <w:szCs w:val="20"/>
              </w:rPr>
              <w:t>SWG</w:t>
            </w:r>
            <w:r w:rsidR="004624AA" w:rsidRPr="00CD20C4">
              <w:rPr>
                <w:rFonts w:cs="Arial"/>
                <w:szCs w:val="20"/>
              </w:rPr>
              <w:t>)</w:t>
            </w:r>
            <w:r w:rsidR="00CC6950" w:rsidRPr="00CD20C4">
              <w:rPr>
                <w:rFonts w:cs="Arial"/>
                <w:szCs w:val="20"/>
              </w:rPr>
              <w:t xml:space="preserve"> believes the </w:t>
            </w:r>
            <w:r w:rsidR="00CC6950" w:rsidRPr="00CD20C4" w:rsidDel="00CC06D8">
              <w:rPr>
                <w:rFonts w:cs="Arial"/>
                <w:szCs w:val="20"/>
              </w:rPr>
              <w:t>26</w:t>
            </w:r>
            <w:r w:rsidR="00CC06D8" w:rsidRPr="00CD20C4">
              <w:rPr>
                <w:rFonts w:cs="Arial"/>
                <w:szCs w:val="20"/>
              </w:rPr>
              <w:t> </w:t>
            </w:r>
            <w:r w:rsidR="00CC6950" w:rsidRPr="00CD20C4">
              <w:rPr>
                <w:rFonts w:cs="Arial"/>
                <w:szCs w:val="20"/>
              </w:rPr>
              <w:t xml:space="preserve">GHz band reallocation and development of the associated technical frameworks should not occur until the new </w:t>
            </w:r>
            <w:r w:rsidR="00CC6950" w:rsidRPr="00991CD9">
              <w:rPr>
                <w:rFonts w:cs="Arial"/>
                <w:szCs w:val="20"/>
              </w:rPr>
              <w:t>Act</w:t>
            </w:r>
            <w:r w:rsidR="00CC6950" w:rsidRPr="00CD20C4">
              <w:rPr>
                <w:rFonts w:cs="Arial"/>
                <w:i/>
                <w:szCs w:val="20"/>
              </w:rPr>
              <w:t xml:space="preserve"> </w:t>
            </w:r>
            <w:r w:rsidR="00CC6950" w:rsidRPr="00CD20C4">
              <w:rPr>
                <w:rFonts w:cs="Arial"/>
                <w:szCs w:val="20"/>
              </w:rPr>
              <w:t xml:space="preserve">is made, noting that Telstra does not support delaying the allocation. </w:t>
            </w:r>
          </w:p>
        </w:tc>
        <w:tc>
          <w:tcPr>
            <w:tcW w:w="814" w:type="pct"/>
            <w:shd w:val="clear" w:color="auto" w:fill="auto"/>
          </w:tcPr>
          <w:p w14:paraId="67C7DBEA" w14:textId="77777777" w:rsidR="0098207E" w:rsidRPr="00CD20C4" w:rsidRDefault="0098207E" w:rsidP="00CA46C1">
            <w:pPr>
              <w:spacing w:after="0"/>
              <w:rPr>
                <w:rFonts w:cs="Arial"/>
                <w:szCs w:val="20"/>
              </w:rPr>
            </w:pPr>
          </w:p>
        </w:tc>
        <w:tc>
          <w:tcPr>
            <w:tcW w:w="932" w:type="pct"/>
            <w:shd w:val="clear" w:color="auto" w:fill="auto"/>
          </w:tcPr>
          <w:p w14:paraId="794C84A2" w14:textId="77777777" w:rsidR="0098207E" w:rsidRPr="00CD20C4" w:rsidRDefault="0098207E" w:rsidP="00CA46C1">
            <w:pPr>
              <w:spacing w:after="0"/>
              <w:rPr>
                <w:rFonts w:cs="Arial"/>
                <w:szCs w:val="20"/>
              </w:rPr>
            </w:pPr>
          </w:p>
        </w:tc>
        <w:tc>
          <w:tcPr>
            <w:tcW w:w="739" w:type="pct"/>
          </w:tcPr>
          <w:p w14:paraId="078938E2" w14:textId="77777777" w:rsidR="0098207E" w:rsidRPr="00CD20C4" w:rsidRDefault="00983391" w:rsidP="00CA46C1">
            <w:pPr>
              <w:spacing w:after="40"/>
              <w:rPr>
                <w:rFonts w:cs="Arial"/>
                <w:szCs w:val="20"/>
              </w:rPr>
            </w:pPr>
            <w:r w:rsidRPr="00CD20C4">
              <w:rPr>
                <w:rFonts w:cs="Arial"/>
                <w:szCs w:val="20"/>
              </w:rPr>
              <w:t>With 1.5 GHz, we are still awaiting outcomes of studies of the out-of-band (OOB) interference at the 1518 MHz band edge, before this work should proceed.</w:t>
            </w:r>
          </w:p>
        </w:tc>
        <w:tc>
          <w:tcPr>
            <w:tcW w:w="770" w:type="pct"/>
          </w:tcPr>
          <w:p w14:paraId="3657FDA9" w14:textId="77777777" w:rsidR="0098207E" w:rsidRPr="00CD20C4" w:rsidRDefault="0098207E" w:rsidP="00CA46C1">
            <w:pPr>
              <w:spacing w:after="40"/>
              <w:rPr>
                <w:rFonts w:cs="Arial"/>
                <w:szCs w:val="20"/>
              </w:rPr>
            </w:pPr>
          </w:p>
        </w:tc>
      </w:tr>
      <w:tr w:rsidR="00190041" w:rsidRPr="00EF20E4" w14:paraId="6D6A6C85" w14:textId="77777777" w:rsidTr="00911DA3">
        <w:tc>
          <w:tcPr>
            <w:tcW w:w="913" w:type="pct"/>
            <w:shd w:val="clear" w:color="auto" w:fill="F2F2F2" w:themeFill="background1" w:themeFillShade="F2"/>
          </w:tcPr>
          <w:p w14:paraId="037010C7" w14:textId="77777777" w:rsidR="00190041" w:rsidRPr="00CD20C4" w:rsidRDefault="00190041" w:rsidP="00CA46C1">
            <w:pPr>
              <w:spacing w:after="0"/>
              <w:rPr>
                <w:rFonts w:cs="Arial"/>
                <w:b/>
                <w:szCs w:val="20"/>
              </w:rPr>
            </w:pPr>
            <w:r w:rsidRPr="00CD20C4">
              <w:rPr>
                <w:rFonts w:cs="Arial"/>
                <w:b/>
                <w:szCs w:val="20"/>
              </w:rPr>
              <w:t>Facebook</w:t>
            </w:r>
          </w:p>
        </w:tc>
        <w:tc>
          <w:tcPr>
            <w:tcW w:w="832" w:type="pct"/>
            <w:shd w:val="clear" w:color="auto" w:fill="F2F2F2" w:themeFill="background1" w:themeFillShade="F2"/>
          </w:tcPr>
          <w:p w14:paraId="7D4061D4" w14:textId="77777777" w:rsidR="00190041" w:rsidRPr="00CD20C4" w:rsidRDefault="000E7BB8" w:rsidP="00670B86">
            <w:pPr>
              <w:autoSpaceDE w:val="0"/>
              <w:autoSpaceDN w:val="0"/>
              <w:adjustRightInd w:val="0"/>
              <w:spacing w:after="0" w:line="240" w:lineRule="auto"/>
              <w:rPr>
                <w:rFonts w:cs="Arial"/>
                <w:szCs w:val="20"/>
              </w:rPr>
            </w:pPr>
            <w:r w:rsidRPr="00CD20C4">
              <w:rPr>
                <w:rFonts w:cs="Arial"/>
                <w:szCs w:val="20"/>
              </w:rPr>
              <w:t>A</w:t>
            </w:r>
            <w:r w:rsidR="00190041" w:rsidRPr="00CD20C4">
              <w:rPr>
                <w:rFonts w:cs="Arial"/>
                <w:szCs w:val="20"/>
              </w:rPr>
              <w:t>s the ACMA proceeds to investigate</w:t>
            </w:r>
            <w:r w:rsidRPr="00CD20C4">
              <w:rPr>
                <w:rFonts w:cs="Arial"/>
                <w:szCs w:val="20"/>
              </w:rPr>
              <w:t xml:space="preserve"> </w:t>
            </w:r>
            <w:r w:rsidR="00190041" w:rsidRPr="00CD20C4">
              <w:rPr>
                <w:rFonts w:cs="Arial"/>
                <w:szCs w:val="20"/>
              </w:rPr>
              <w:t xml:space="preserve">making the </w:t>
            </w:r>
            <w:r w:rsidR="00190041" w:rsidRPr="00CD20C4" w:rsidDel="00670B86">
              <w:rPr>
                <w:rFonts w:cs="Arial"/>
                <w:szCs w:val="20"/>
              </w:rPr>
              <w:t>26</w:t>
            </w:r>
            <w:r w:rsidR="00670B86" w:rsidRPr="00CD20C4">
              <w:rPr>
                <w:rFonts w:cs="Arial"/>
                <w:szCs w:val="20"/>
              </w:rPr>
              <w:t> </w:t>
            </w:r>
            <w:r w:rsidR="00190041" w:rsidRPr="00CD20C4">
              <w:rPr>
                <w:rFonts w:cs="Arial"/>
                <w:szCs w:val="20"/>
              </w:rPr>
              <w:t xml:space="preserve">GHz band available for 5G, </w:t>
            </w:r>
            <w:r w:rsidR="000C7185" w:rsidRPr="00CD20C4">
              <w:rPr>
                <w:rFonts w:cs="Arial"/>
                <w:szCs w:val="20"/>
              </w:rPr>
              <w:t>Facebook</w:t>
            </w:r>
            <w:r w:rsidR="00190041" w:rsidRPr="00CD20C4">
              <w:rPr>
                <w:rFonts w:cs="Arial"/>
                <w:szCs w:val="20"/>
              </w:rPr>
              <w:t xml:space="preserve"> encourage</w:t>
            </w:r>
            <w:r w:rsidR="000C7185" w:rsidRPr="00CD20C4">
              <w:rPr>
                <w:rFonts w:cs="Arial"/>
                <w:szCs w:val="20"/>
              </w:rPr>
              <w:t>s</w:t>
            </w:r>
            <w:r w:rsidR="00190041" w:rsidRPr="00CD20C4">
              <w:rPr>
                <w:rFonts w:cs="Arial"/>
                <w:szCs w:val="20"/>
              </w:rPr>
              <w:t xml:space="preserve"> the ACMA to allow for the possible</w:t>
            </w:r>
            <w:r w:rsidRPr="00CD20C4">
              <w:rPr>
                <w:rFonts w:cs="Arial"/>
                <w:szCs w:val="20"/>
              </w:rPr>
              <w:t xml:space="preserve"> </w:t>
            </w:r>
            <w:r w:rsidR="00190041" w:rsidRPr="00CD20C4">
              <w:rPr>
                <w:rFonts w:cs="Arial"/>
                <w:szCs w:val="20"/>
              </w:rPr>
              <w:t>development of fixed services in this band, specifically, high altitude platform stations</w:t>
            </w:r>
            <w:r w:rsidRPr="00CD20C4">
              <w:rPr>
                <w:rFonts w:cs="Arial"/>
                <w:szCs w:val="20"/>
              </w:rPr>
              <w:t xml:space="preserve"> </w:t>
            </w:r>
            <w:r w:rsidR="00190041" w:rsidRPr="00CD20C4">
              <w:rPr>
                <w:rFonts w:cs="Arial"/>
                <w:szCs w:val="20"/>
              </w:rPr>
              <w:t>(</w:t>
            </w:r>
            <w:r w:rsidR="001E41D5">
              <w:rPr>
                <w:rFonts w:cs="Arial"/>
                <w:szCs w:val="20"/>
              </w:rPr>
              <w:t>‘</w:t>
            </w:r>
            <w:r w:rsidR="00190041" w:rsidRPr="00E53CF1">
              <w:rPr>
                <w:rFonts w:cs="Arial"/>
                <w:szCs w:val="20"/>
              </w:rPr>
              <w:t>HAPS</w:t>
            </w:r>
            <w:r w:rsidR="001E41D5" w:rsidRPr="00E53CF1">
              <w:rPr>
                <w:rFonts w:cs="Arial"/>
                <w:szCs w:val="20"/>
              </w:rPr>
              <w:t>’</w:t>
            </w:r>
            <w:r w:rsidR="00190041" w:rsidRPr="00E53CF1">
              <w:rPr>
                <w:rFonts w:cs="Arial"/>
                <w:szCs w:val="20"/>
              </w:rPr>
              <w:t>).</w:t>
            </w:r>
          </w:p>
        </w:tc>
        <w:tc>
          <w:tcPr>
            <w:tcW w:w="814" w:type="pct"/>
            <w:shd w:val="clear" w:color="auto" w:fill="F2F2F2" w:themeFill="background1" w:themeFillShade="F2"/>
          </w:tcPr>
          <w:p w14:paraId="29F6036B" w14:textId="77777777" w:rsidR="00190041" w:rsidRPr="00CD20C4" w:rsidDel="0098207E" w:rsidRDefault="00190041" w:rsidP="00CA46C1">
            <w:pPr>
              <w:spacing w:after="0"/>
              <w:rPr>
                <w:rFonts w:cs="Arial"/>
                <w:szCs w:val="20"/>
              </w:rPr>
            </w:pPr>
          </w:p>
        </w:tc>
        <w:tc>
          <w:tcPr>
            <w:tcW w:w="932" w:type="pct"/>
            <w:shd w:val="clear" w:color="auto" w:fill="F2F2F2" w:themeFill="background1" w:themeFillShade="F2"/>
          </w:tcPr>
          <w:p w14:paraId="5DEDEE05" w14:textId="77777777" w:rsidR="00190041" w:rsidRPr="00CD20C4" w:rsidDel="0098207E" w:rsidRDefault="00190041" w:rsidP="00CA46C1">
            <w:pPr>
              <w:spacing w:after="0"/>
              <w:rPr>
                <w:rFonts w:cs="Arial"/>
                <w:szCs w:val="20"/>
              </w:rPr>
            </w:pPr>
          </w:p>
        </w:tc>
        <w:tc>
          <w:tcPr>
            <w:tcW w:w="739" w:type="pct"/>
            <w:shd w:val="clear" w:color="auto" w:fill="F2F2F2" w:themeFill="background1" w:themeFillShade="F2"/>
          </w:tcPr>
          <w:p w14:paraId="0BD120F8" w14:textId="77777777" w:rsidR="00190041" w:rsidRPr="00CD20C4" w:rsidRDefault="00190041" w:rsidP="00CA46C1">
            <w:pPr>
              <w:spacing w:after="40"/>
              <w:rPr>
                <w:rFonts w:cs="Arial"/>
                <w:szCs w:val="20"/>
              </w:rPr>
            </w:pPr>
          </w:p>
        </w:tc>
        <w:tc>
          <w:tcPr>
            <w:tcW w:w="770" w:type="pct"/>
            <w:shd w:val="clear" w:color="auto" w:fill="F2F2F2" w:themeFill="background1" w:themeFillShade="F2"/>
          </w:tcPr>
          <w:p w14:paraId="70EA73D3" w14:textId="77777777" w:rsidR="00190041" w:rsidRPr="00CD20C4" w:rsidRDefault="00190041" w:rsidP="00CA46C1">
            <w:pPr>
              <w:spacing w:after="40"/>
              <w:rPr>
                <w:rFonts w:cs="Arial"/>
                <w:szCs w:val="20"/>
              </w:rPr>
            </w:pPr>
          </w:p>
        </w:tc>
      </w:tr>
      <w:tr w:rsidR="00945C4F" w:rsidRPr="00083C8A" w14:paraId="78B8E852" w14:textId="77777777" w:rsidTr="00911DA3">
        <w:tc>
          <w:tcPr>
            <w:tcW w:w="913" w:type="pct"/>
            <w:shd w:val="clear" w:color="auto" w:fill="auto"/>
          </w:tcPr>
          <w:p w14:paraId="26D228B9" w14:textId="77777777" w:rsidR="00945C4F" w:rsidRPr="00CD20C4" w:rsidRDefault="001E41D5" w:rsidP="003E6765">
            <w:pPr>
              <w:spacing w:after="0"/>
              <w:rPr>
                <w:rFonts w:cs="Arial"/>
                <w:b/>
                <w:szCs w:val="20"/>
              </w:rPr>
            </w:pPr>
            <w:r>
              <w:rPr>
                <w:rFonts w:cs="Arial"/>
                <w:b/>
                <w:szCs w:val="20"/>
              </w:rPr>
              <w:t>NBN Co</w:t>
            </w:r>
          </w:p>
        </w:tc>
        <w:tc>
          <w:tcPr>
            <w:tcW w:w="832" w:type="pct"/>
            <w:shd w:val="clear" w:color="auto" w:fill="auto"/>
          </w:tcPr>
          <w:p w14:paraId="6771052A" w14:textId="77777777" w:rsidR="00945C4F" w:rsidRPr="00CD20C4" w:rsidRDefault="00945C4F" w:rsidP="00C17DA2">
            <w:pPr>
              <w:autoSpaceDE w:val="0"/>
              <w:autoSpaceDN w:val="0"/>
              <w:adjustRightInd w:val="0"/>
              <w:spacing w:after="0" w:line="240" w:lineRule="auto"/>
              <w:rPr>
                <w:rFonts w:cs="Arial"/>
                <w:color w:val="000000"/>
                <w:szCs w:val="20"/>
              </w:rPr>
            </w:pPr>
            <w:r w:rsidRPr="00CD20C4">
              <w:rPr>
                <w:rFonts w:cs="Arial"/>
                <w:color w:val="000000"/>
                <w:szCs w:val="20"/>
              </w:rPr>
              <w:t>In respect of the 26</w:t>
            </w:r>
            <w:r w:rsidR="00F63A10" w:rsidRPr="00CD20C4">
              <w:rPr>
                <w:rFonts w:cs="Arial"/>
                <w:color w:val="000000"/>
                <w:szCs w:val="20"/>
              </w:rPr>
              <w:t xml:space="preserve"> </w:t>
            </w:r>
            <w:r w:rsidRPr="00CD20C4">
              <w:rPr>
                <w:rFonts w:cs="Arial"/>
                <w:color w:val="000000"/>
                <w:szCs w:val="20"/>
              </w:rPr>
              <w:t xml:space="preserve">GHz band, </w:t>
            </w:r>
            <w:r w:rsidR="001E41D5">
              <w:rPr>
                <w:rFonts w:cs="Arial"/>
                <w:color w:val="000000"/>
                <w:szCs w:val="20"/>
              </w:rPr>
              <w:t>NBN Co</w:t>
            </w:r>
            <w:r w:rsidR="001E41D5" w:rsidRPr="00CD20C4">
              <w:rPr>
                <w:rFonts w:cs="Arial"/>
                <w:color w:val="000000"/>
                <w:szCs w:val="20"/>
              </w:rPr>
              <w:t xml:space="preserve">’s </w:t>
            </w:r>
            <w:r w:rsidRPr="00CD20C4">
              <w:rPr>
                <w:rFonts w:cs="Arial"/>
                <w:color w:val="000000"/>
                <w:szCs w:val="20"/>
              </w:rPr>
              <w:t xml:space="preserve">submission </w:t>
            </w:r>
            <w:r w:rsidR="00D33077" w:rsidRPr="00CD20C4">
              <w:rPr>
                <w:rFonts w:cs="Arial"/>
                <w:color w:val="000000"/>
                <w:szCs w:val="20"/>
              </w:rPr>
              <w:t xml:space="preserve">is </w:t>
            </w:r>
            <w:r w:rsidRPr="00CD20C4">
              <w:rPr>
                <w:rFonts w:cs="Arial"/>
                <w:color w:val="000000"/>
                <w:szCs w:val="20"/>
              </w:rPr>
              <w:t xml:space="preserve">that consideration of spectrum for mobile broadband use in the Ka-Band be limited to bands below 27.0 GHz. </w:t>
            </w:r>
          </w:p>
        </w:tc>
        <w:tc>
          <w:tcPr>
            <w:tcW w:w="814" w:type="pct"/>
            <w:shd w:val="clear" w:color="auto" w:fill="auto"/>
          </w:tcPr>
          <w:p w14:paraId="75E012CB" w14:textId="77777777" w:rsidR="00945C4F" w:rsidRPr="00CD20C4" w:rsidRDefault="00945C4F" w:rsidP="003E6765">
            <w:pPr>
              <w:spacing w:after="0"/>
              <w:rPr>
                <w:rFonts w:cs="Arial"/>
                <w:szCs w:val="20"/>
              </w:rPr>
            </w:pPr>
          </w:p>
        </w:tc>
        <w:tc>
          <w:tcPr>
            <w:tcW w:w="932" w:type="pct"/>
            <w:shd w:val="clear" w:color="auto" w:fill="auto"/>
          </w:tcPr>
          <w:p w14:paraId="303DDD39" w14:textId="77777777" w:rsidR="00945C4F" w:rsidRPr="00CD20C4" w:rsidRDefault="00945C4F" w:rsidP="003E6765">
            <w:pPr>
              <w:spacing w:after="40"/>
              <w:rPr>
                <w:rFonts w:cs="Arial"/>
                <w:szCs w:val="20"/>
              </w:rPr>
            </w:pPr>
          </w:p>
        </w:tc>
        <w:tc>
          <w:tcPr>
            <w:tcW w:w="739" w:type="pct"/>
            <w:shd w:val="clear" w:color="auto" w:fill="auto"/>
          </w:tcPr>
          <w:p w14:paraId="505CA7B3" w14:textId="77777777" w:rsidR="00945C4F" w:rsidRPr="00CD20C4" w:rsidRDefault="00945C4F" w:rsidP="003E6765">
            <w:pPr>
              <w:spacing w:after="40"/>
              <w:rPr>
                <w:rFonts w:cs="Arial"/>
                <w:szCs w:val="20"/>
              </w:rPr>
            </w:pPr>
          </w:p>
        </w:tc>
        <w:tc>
          <w:tcPr>
            <w:tcW w:w="770" w:type="pct"/>
            <w:shd w:val="clear" w:color="auto" w:fill="auto"/>
          </w:tcPr>
          <w:p w14:paraId="0D9A6F9F" w14:textId="77777777" w:rsidR="00945C4F" w:rsidRPr="00CD20C4" w:rsidRDefault="00945C4F" w:rsidP="003E6765">
            <w:pPr>
              <w:spacing w:after="40"/>
              <w:rPr>
                <w:rFonts w:cs="Arial"/>
                <w:szCs w:val="20"/>
              </w:rPr>
            </w:pPr>
          </w:p>
        </w:tc>
      </w:tr>
      <w:tr w:rsidR="00190041" w:rsidRPr="00EF20E4" w14:paraId="6F06BF16" w14:textId="77777777" w:rsidTr="00911DA3">
        <w:tc>
          <w:tcPr>
            <w:tcW w:w="913" w:type="pct"/>
            <w:shd w:val="clear" w:color="auto" w:fill="F2F2F2" w:themeFill="background1" w:themeFillShade="F2"/>
          </w:tcPr>
          <w:p w14:paraId="68B58F84" w14:textId="77777777" w:rsidR="00190041" w:rsidRPr="00CD20C4" w:rsidRDefault="00945C4F" w:rsidP="002E32BA">
            <w:pPr>
              <w:keepNext/>
              <w:spacing w:after="0"/>
              <w:rPr>
                <w:rFonts w:cs="Arial"/>
                <w:b/>
                <w:szCs w:val="20"/>
              </w:rPr>
            </w:pPr>
            <w:r w:rsidRPr="00CD20C4">
              <w:rPr>
                <w:rFonts w:cs="Arial"/>
                <w:b/>
                <w:szCs w:val="20"/>
              </w:rPr>
              <w:lastRenderedPageBreak/>
              <w:t>Nokia</w:t>
            </w:r>
          </w:p>
        </w:tc>
        <w:tc>
          <w:tcPr>
            <w:tcW w:w="832" w:type="pct"/>
            <w:shd w:val="clear" w:color="auto" w:fill="F2F2F2" w:themeFill="background1" w:themeFillShade="F2"/>
          </w:tcPr>
          <w:p w14:paraId="184FB35E" w14:textId="3726F491" w:rsidR="00945C4F" w:rsidRPr="00CD20C4" w:rsidRDefault="00945C4F" w:rsidP="002E32BA">
            <w:pPr>
              <w:keepNext/>
              <w:autoSpaceDE w:val="0"/>
              <w:autoSpaceDN w:val="0"/>
              <w:adjustRightInd w:val="0"/>
              <w:spacing w:after="0" w:line="240" w:lineRule="auto"/>
              <w:rPr>
                <w:rFonts w:cs="Arial"/>
                <w:color w:val="001135"/>
                <w:szCs w:val="20"/>
              </w:rPr>
            </w:pPr>
            <w:r w:rsidRPr="00CD20C4">
              <w:rPr>
                <w:rFonts w:cs="Arial"/>
                <w:color w:val="001135"/>
                <w:szCs w:val="20"/>
              </w:rPr>
              <w:t>Prioriti</w:t>
            </w:r>
            <w:r w:rsidR="00D33077" w:rsidRPr="00CD20C4">
              <w:rPr>
                <w:rFonts w:cs="Arial"/>
                <w:color w:val="001135"/>
                <w:szCs w:val="20"/>
              </w:rPr>
              <w:t>s</w:t>
            </w:r>
            <w:r w:rsidRPr="00CD20C4">
              <w:rPr>
                <w:rFonts w:cs="Arial"/>
                <w:color w:val="001135"/>
                <w:szCs w:val="20"/>
              </w:rPr>
              <w:t>e early allocation of mm</w:t>
            </w:r>
            <w:r w:rsidR="00C33176">
              <w:rPr>
                <w:rFonts w:cs="Arial"/>
                <w:color w:val="001135"/>
                <w:szCs w:val="20"/>
              </w:rPr>
              <w:t>W</w:t>
            </w:r>
            <w:r w:rsidRPr="00CD20C4">
              <w:rPr>
                <w:rFonts w:cs="Arial"/>
                <w:color w:val="001135"/>
                <w:szCs w:val="20"/>
              </w:rPr>
              <w:t>ave Bands (26</w:t>
            </w:r>
            <w:r w:rsidR="00EF334B">
              <w:rPr>
                <w:rFonts w:cs="Arial"/>
                <w:color w:val="001135"/>
                <w:szCs w:val="20"/>
              </w:rPr>
              <w:t> </w:t>
            </w:r>
            <w:r w:rsidRPr="00CD20C4">
              <w:rPr>
                <w:rFonts w:cs="Arial"/>
                <w:color w:val="001135"/>
                <w:szCs w:val="20"/>
              </w:rPr>
              <w:t>GHz and 28</w:t>
            </w:r>
            <w:r w:rsidR="00F63A10" w:rsidRPr="00CD20C4">
              <w:rPr>
                <w:rFonts w:cs="Arial"/>
                <w:color w:val="001135"/>
                <w:szCs w:val="20"/>
              </w:rPr>
              <w:t xml:space="preserve"> </w:t>
            </w:r>
            <w:r w:rsidRPr="00CD20C4">
              <w:rPr>
                <w:rFonts w:cs="Arial"/>
                <w:color w:val="001135"/>
                <w:szCs w:val="20"/>
              </w:rPr>
              <w:t>GHz ) and start working on</w:t>
            </w:r>
          </w:p>
          <w:p w14:paraId="44A0CCA7" w14:textId="77777777" w:rsidR="00190041" w:rsidRPr="00CD20C4" w:rsidRDefault="001E41D5" w:rsidP="002E32BA">
            <w:pPr>
              <w:keepNext/>
              <w:spacing w:after="0"/>
              <w:rPr>
                <w:rFonts w:cs="Arial"/>
                <w:szCs w:val="20"/>
              </w:rPr>
            </w:pPr>
            <w:r w:rsidRPr="00CD20C4">
              <w:rPr>
                <w:rFonts w:cs="Arial"/>
                <w:color w:val="001135"/>
                <w:szCs w:val="20"/>
              </w:rPr>
              <w:t>A</w:t>
            </w:r>
            <w:r w:rsidR="00945C4F" w:rsidRPr="00CD20C4">
              <w:rPr>
                <w:rFonts w:cs="Arial"/>
                <w:color w:val="001135"/>
                <w:szCs w:val="20"/>
              </w:rPr>
              <w:t>llocation</w:t>
            </w:r>
            <w:r>
              <w:rPr>
                <w:rFonts w:cs="Arial"/>
                <w:color w:val="001135"/>
                <w:szCs w:val="20"/>
              </w:rPr>
              <w:t>.</w:t>
            </w:r>
          </w:p>
        </w:tc>
        <w:tc>
          <w:tcPr>
            <w:tcW w:w="814" w:type="pct"/>
            <w:shd w:val="clear" w:color="auto" w:fill="F2F2F2" w:themeFill="background1" w:themeFillShade="F2"/>
          </w:tcPr>
          <w:p w14:paraId="67D802A6" w14:textId="77777777" w:rsidR="00190041" w:rsidRPr="00CD20C4" w:rsidDel="0098207E" w:rsidRDefault="00190041" w:rsidP="00CA46C1">
            <w:pPr>
              <w:spacing w:after="0"/>
              <w:rPr>
                <w:rFonts w:cs="Arial"/>
                <w:szCs w:val="20"/>
              </w:rPr>
            </w:pPr>
          </w:p>
        </w:tc>
        <w:tc>
          <w:tcPr>
            <w:tcW w:w="932" w:type="pct"/>
            <w:shd w:val="clear" w:color="auto" w:fill="F2F2F2" w:themeFill="background1" w:themeFillShade="F2"/>
          </w:tcPr>
          <w:p w14:paraId="64EA8E4B" w14:textId="77777777" w:rsidR="00190041" w:rsidRPr="00CD20C4" w:rsidDel="0098207E" w:rsidRDefault="00190041" w:rsidP="00CA46C1">
            <w:pPr>
              <w:spacing w:after="0"/>
              <w:rPr>
                <w:rFonts w:cs="Arial"/>
                <w:szCs w:val="20"/>
              </w:rPr>
            </w:pPr>
          </w:p>
        </w:tc>
        <w:tc>
          <w:tcPr>
            <w:tcW w:w="739" w:type="pct"/>
            <w:shd w:val="clear" w:color="auto" w:fill="F2F2F2" w:themeFill="background1" w:themeFillShade="F2"/>
          </w:tcPr>
          <w:p w14:paraId="1561B3FB" w14:textId="77777777" w:rsidR="00190041" w:rsidRPr="00CD20C4" w:rsidRDefault="00190041" w:rsidP="00CA46C1">
            <w:pPr>
              <w:spacing w:after="40"/>
              <w:rPr>
                <w:rFonts w:cs="Arial"/>
                <w:szCs w:val="20"/>
              </w:rPr>
            </w:pPr>
          </w:p>
        </w:tc>
        <w:tc>
          <w:tcPr>
            <w:tcW w:w="770" w:type="pct"/>
            <w:shd w:val="clear" w:color="auto" w:fill="F2F2F2" w:themeFill="background1" w:themeFillShade="F2"/>
          </w:tcPr>
          <w:p w14:paraId="60426AC4" w14:textId="77777777" w:rsidR="00190041" w:rsidRPr="00CD20C4" w:rsidRDefault="00190041" w:rsidP="00CA46C1">
            <w:pPr>
              <w:spacing w:after="40"/>
              <w:rPr>
                <w:rFonts w:cs="Arial"/>
                <w:szCs w:val="20"/>
              </w:rPr>
            </w:pPr>
          </w:p>
        </w:tc>
      </w:tr>
      <w:tr w:rsidR="0098207E" w:rsidRPr="00EF20E4" w14:paraId="31FF706D" w14:textId="77777777" w:rsidTr="00911DA3">
        <w:tc>
          <w:tcPr>
            <w:tcW w:w="913" w:type="pct"/>
            <w:shd w:val="clear" w:color="auto" w:fill="auto"/>
          </w:tcPr>
          <w:p w14:paraId="70DD9FAF" w14:textId="77777777" w:rsidR="0098207E" w:rsidRPr="00CD20C4" w:rsidRDefault="00742870" w:rsidP="00CA46C1">
            <w:pPr>
              <w:spacing w:after="0"/>
              <w:rPr>
                <w:rFonts w:cs="Arial"/>
                <w:b/>
                <w:szCs w:val="20"/>
              </w:rPr>
            </w:pPr>
            <w:r w:rsidRPr="00CD20C4">
              <w:rPr>
                <w:rFonts w:cs="Arial"/>
                <w:b/>
                <w:szCs w:val="20"/>
              </w:rPr>
              <w:t>Optus</w:t>
            </w:r>
          </w:p>
        </w:tc>
        <w:tc>
          <w:tcPr>
            <w:tcW w:w="832" w:type="pct"/>
            <w:shd w:val="clear" w:color="auto" w:fill="auto"/>
          </w:tcPr>
          <w:p w14:paraId="0143DD9C" w14:textId="77777777" w:rsidR="0098207E" w:rsidRPr="00CD20C4" w:rsidRDefault="000C7185" w:rsidP="00C17DA2">
            <w:pPr>
              <w:autoSpaceDE w:val="0"/>
              <w:autoSpaceDN w:val="0"/>
              <w:adjustRightInd w:val="0"/>
              <w:spacing w:after="0" w:line="240" w:lineRule="auto"/>
              <w:rPr>
                <w:rFonts w:cs="Arial"/>
                <w:szCs w:val="20"/>
              </w:rPr>
            </w:pPr>
            <w:r w:rsidRPr="00CD20C4">
              <w:rPr>
                <w:rFonts w:cs="Arial"/>
                <w:szCs w:val="20"/>
              </w:rPr>
              <w:t xml:space="preserve">Optus does </w:t>
            </w:r>
            <w:r w:rsidR="00A564F0" w:rsidRPr="00CD20C4">
              <w:rPr>
                <w:rFonts w:cs="Arial"/>
                <w:szCs w:val="20"/>
              </w:rPr>
              <w:t>not support the premature allocation of this band</w:t>
            </w:r>
            <w:r w:rsidR="000E7BB8" w:rsidRPr="00CD20C4">
              <w:rPr>
                <w:rFonts w:cs="Arial"/>
                <w:szCs w:val="20"/>
              </w:rPr>
              <w:t xml:space="preserve"> </w:t>
            </w:r>
            <w:r w:rsidR="00A564F0" w:rsidRPr="00CD20C4">
              <w:rPr>
                <w:rFonts w:cs="Arial"/>
                <w:szCs w:val="20"/>
              </w:rPr>
              <w:t>prior to any finalisation and standardisation of spectrum in this frequency range. Consequently, the domestic allocation should similarly be paused beyond</w:t>
            </w:r>
            <w:r w:rsidR="000E7BB8" w:rsidRPr="00CD20C4">
              <w:rPr>
                <w:rFonts w:cs="Arial"/>
                <w:szCs w:val="20"/>
              </w:rPr>
              <w:t xml:space="preserve"> </w:t>
            </w:r>
            <w:r w:rsidR="00A564F0" w:rsidRPr="00CD20C4">
              <w:rPr>
                <w:rFonts w:cs="Arial"/>
                <w:szCs w:val="20"/>
              </w:rPr>
              <w:t>the proposed timeframe for the ACMA planning decision in Q2 2018</w:t>
            </w:r>
            <w:r w:rsidR="001E41D5">
              <w:rPr>
                <w:rFonts w:cs="Arial"/>
                <w:szCs w:val="20"/>
              </w:rPr>
              <w:t>–</w:t>
            </w:r>
            <w:r w:rsidR="00A564F0" w:rsidRPr="00CD20C4">
              <w:rPr>
                <w:rFonts w:cs="Arial"/>
                <w:szCs w:val="20"/>
              </w:rPr>
              <w:t>19 (Sep</w:t>
            </w:r>
            <w:r w:rsidR="001E41D5">
              <w:rPr>
                <w:rFonts w:cs="Arial"/>
                <w:szCs w:val="20"/>
              </w:rPr>
              <w:t>–</w:t>
            </w:r>
            <w:r w:rsidR="00A564F0" w:rsidRPr="00CD20C4">
              <w:rPr>
                <w:rFonts w:cs="Arial"/>
                <w:szCs w:val="20"/>
              </w:rPr>
              <w:t>Dec 2018).</w:t>
            </w:r>
          </w:p>
        </w:tc>
        <w:tc>
          <w:tcPr>
            <w:tcW w:w="814" w:type="pct"/>
            <w:shd w:val="clear" w:color="auto" w:fill="auto"/>
          </w:tcPr>
          <w:p w14:paraId="239965D7" w14:textId="77777777" w:rsidR="0098207E" w:rsidRPr="00CD20C4" w:rsidRDefault="00A564F0" w:rsidP="00C17DA2">
            <w:pPr>
              <w:autoSpaceDE w:val="0"/>
              <w:autoSpaceDN w:val="0"/>
              <w:adjustRightInd w:val="0"/>
              <w:spacing w:after="0" w:line="240" w:lineRule="auto"/>
              <w:rPr>
                <w:rFonts w:cs="Arial"/>
                <w:szCs w:val="20"/>
              </w:rPr>
            </w:pPr>
            <w:r w:rsidRPr="00CD20C4">
              <w:rPr>
                <w:rFonts w:cs="Arial"/>
                <w:szCs w:val="20"/>
              </w:rPr>
              <w:t>Optus’</w:t>
            </w:r>
            <w:r w:rsidR="001E41D5">
              <w:rPr>
                <w:rFonts w:cs="Arial"/>
                <w:szCs w:val="20"/>
              </w:rPr>
              <w:t>s</w:t>
            </w:r>
            <w:r w:rsidRPr="00CD20C4">
              <w:rPr>
                <w:rFonts w:cs="Arial"/>
                <w:szCs w:val="20"/>
              </w:rPr>
              <w:t xml:space="preserve"> view that any re-allocation of the 900 MHz band should not occur while it</w:t>
            </w:r>
            <w:r w:rsidR="000E7BB8" w:rsidRPr="00CD20C4">
              <w:rPr>
                <w:rFonts w:cs="Arial"/>
                <w:szCs w:val="20"/>
              </w:rPr>
              <w:t xml:space="preserve"> </w:t>
            </w:r>
            <w:r w:rsidRPr="00CD20C4">
              <w:rPr>
                <w:rFonts w:cs="Arial"/>
                <w:szCs w:val="20"/>
              </w:rPr>
              <w:t>is being used to support 3G services to regional and metropolitan customers, unless the re-allocation mechanism also provides a guaranteed way for incumbent mobile 3G services to be protected until commercially phased-out.</w:t>
            </w:r>
          </w:p>
        </w:tc>
        <w:tc>
          <w:tcPr>
            <w:tcW w:w="932" w:type="pct"/>
            <w:shd w:val="clear" w:color="auto" w:fill="auto"/>
          </w:tcPr>
          <w:p w14:paraId="4EE4BD7A" w14:textId="303D585A" w:rsidR="00A564F0" w:rsidRPr="00CD20C4" w:rsidRDefault="00A564F0" w:rsidP="00EF334B">
            <w:pPr>
              <w:autoSpaceDE w:val="0"/>
              <w:autoSpaceDN w:val="0"/>
              <w:adjustRightInd w:val="0"/>
              <w:spacing w:after="60" w:line="240" w:lineRule="auto"/>
              <w:rPr>
                <w:rFonts w:cs="Arial"/>
                <w:szCs w:val="20"/>
              </w:rPr>
            </w:pPr>
            <w:r w:rsidRPr="00CD20C4">
              <w:rPr>
                <w:rFonts w:cs="Arial"/>
                <w:szCs w:val="20"/>
              </w:rPr>
              <w:t>Optus also reiterates the following scenarios be considered</w:t>
            </w:r>
            <w:r w:rsidR="00EF334B">
              <w:rPr>
                <w:rFonts w:cs="Arial"/>
                <w:szCs w:val="20"/>
              </w:rPr>
              <w:t>:</w:t>
            </w:r>
          </w:p>
          <w:p w14:paraId="3845C487" w14:textId="77777777" w:rsidR="00A564F0" w:rsidRPr="00CD20C4" w:rsidRDefault="00A564F0" w:rsidP="00EF334B">
            <w:pPr>
              <w:autoSpaceDE w:val="0"/>
              <w:autoSpaceDN w:val="0"/>
              <w:adjustRightInd w:val="0"/>
              <w:spacing w:after="60" w:line="240" w:lineRule="auto"/>
              <w:rPr>
                <w:rFonts w:cs="Arial"/>
                <w:szCs w:val="20"/>
              </w:rPr>
            </w:pPr>
            <w:r w:rsidRPr="00CD20C4">
              <w:rPr>
                <w:rFonts w:cs="Arial"/>
                <w:szCs w:val="20"/>
              </w:rPr>
              <w:t>(a) The 1.5 GHz process commencing in 2020, with an allocation in 2022;</w:t>
            </w:r>
          </w:p>
          <w:p w14:paraId="6791510C" w14:textId="77777777" w:rsidR="00A564F0" w:rsidRPr="00CD20C4" w:rsidRDefault="00A564F0" w:rsidP="00EF334B">
            <w:pPr>
              <w:autoSpaceDE w:val="0"/>
              <w:autoSpaceDN w:val="0"/>
              <w:adjustRightInd w:val="0"/>
              <w:spacing w:after="60" w:line="240" w:lineRule="auto"/>
              <w:rPr>
                <w:rFonts w:cs="Arial"/>
                <w:szCs w:val="20"/>
              </w:rPr>
            </w:pPr>
            <w:r w:rsidRPr="00CD20C4">
              <w:rPr>
                <w:rFonts w:cs="Arial"/>
                <w:szCs w:val="20"/>
              </w:rPr>
              <w:t>(b) The 26 GHz process commencing in 2021, with an allocation in 2023; and</w:t>
            </w:r>
          </w:p>
          <w:p w14:paraId="4CDF29AD" w14:textId="77777777" w:rsidR="0098207E" w:rsidRPr="00CD20C4" w:rsidRDefault="00A564F0" w:rsidP="00CA46C1">
            <w:pPr>
              <w:spacing w:after="0"/>
              <w:rPr>
                <w:rFonts w:cs="Arial"/>
                <w:szCs w:val="20"/>
              </w:rPr>
            </w:pPr>
            <w:r w:rsidRPr="00CD20C4">
              <w:rPr>
                <w:rFonts w:cs="Arial"/>
                <w:szCs w:val="20"/>
              </w:rPr>
              <w:t>(c) The extension 850 MHz process commencing in 2022, with an allocation in</w:t>
            </w:r>
            <w:r w:rsidR="000E7BB8" w:rsidRPr="00CD20C4">
              <w:rPr>
                <w:rFonts w:cs="Arial"/>
                <w:szCs w:val="20"/>
              </w:rPr>
              <w:t xml:space="preserve"> </w:t>
            </w:r>
            <w:r w:rsidRPr="00CD20C4">
              <w:rPr>
                <w:rFonts w:cs="Arial"/>
                <w:szCs w:val="20"/>
              </w:rPr>
              <w:t>2024.</w:t>
            </w:r>
          </w:p>
        </w:tc>
        <w:tc>
          <w:tcPr>
            <w:tcW w:w="739" w:type="pct"/>
          </w:tcPr>
          <w:p w14:paraId="284EB667" w14:textId="77777777" w:rsidR="0098207E" w:rsidRPr="00CD20C4" w:rsidRDefault="0098207E" w:rsidP="00CA46C1">
            <w:pPr>
              <w:spacing w:after="40"/>
              <w:rPr>
                <w:rFonts w:cs="Arial"/>
                <w:szCs w:val="20"/>
              </w:rPr>
            </w:pPr>
          </w:p>
        </w:tc>
        <w:tc>
          <w:tcPr>
            <w:tcW w:w="770" w:type="pct"/>
          </w:tcPr>
          <w:p w14:paraId="6EB85E1D" w14:textId="77777777" w:rsidR="0098207E" w:rsidRPr="00CD20C4" w:rsidRDefault="00B52B51" w:rsidP="00C17DA2">
            <w:pPr>
              <w:autoSpaceDE w:val="0"/>
              <w:autoSpaceDN w:val="0"/>
              <w:adjustRightInd w:val="0"/>
              <w:spacing w:after="0" w:line="240" w:lineRule="auto"/>
              <w:rPr>
                <w:rFonts w:cs="Arial"/>
                <w:szCs w:val="20"/>
              </w:rPr>
            </w:pPr>
            <w:r w:rsidRPr="00CD20C4">
              <w:rPr>
                <w:rFonts w:cs="Arial"/>
                <w:szCs w:val="20"/>
              </w:rPr>
              <w:t>Optus considers there is merit in prioritising the de-fragmentation of the global</w:t>
            </w:r>
            <w:r w:rsidR="000E7BB8" w:rsidRPr="00CD20C4">
              <w:rPr>
                <w:rFonts w:cs="Arial"/>
                <w:szCs w:val="20"/>
              </w:rPr>
              <w:t xml:space="preserve"> </w:t>
            </w:r>
            <w:r w:rsidRPr="00CD20C4">
              <w:rPr>
                <w:rFonts w:cs="Arial"/>
                <w:szCs w:val="20"/>
              </w:rPr>
              <w:t>3.5 GHz band and assessing global 5G candidate band developments following the</w:t>
            </w:r>
            <w:r w:rsidR="000E7BB8" w:rsidRPr="00CD20C4">
              <w:rPr>
                <w:rFonts w:cs="Arial"/>
                <w:szCs w:val="20"/>
              </w:rPr>
              <w:t xml:space="preserve"> </w:t>
            </w:r>
            <w:r w:rsidRPr="00CD20C4">
              <w:rPr>
                <w:rFonts w:cs="Arial"/>
                <w:szCs w:val="20"/>
              </w:rPr>
              <w:t>completion of the current 3.6 GHz allocation process and before any further 5G</w:t>
            </w:r>
            <w:r w:rsidR="000E7BB8" w:rsidRPr="00CD20C4">
              <w:rPr>
                <w:rFonts w:cs="Arial"/>
                <w:szCs w:val="20"/>
              </w:rPr>
              <w:t xml:space="preserve"> </w:t>
            </w:r>
            <w:r w:rsidRPr="00CD20C4">
              <w:rPr>
                <w:rFonts w:cs="Arial"/>
                <w:szCs w:val="20"/>
              </w:rPr>
              <w:t>allocations commence.</w:t>
            </w:r>
          </w:p>
        </w:tc>
      </w:tr>
      <w:tr w:rsidR="00742870" w:rsidRPr="00EF20E4" w14:paraId="1F00E029" w14:textId="77777777" w:rsidTr="00911DA3">
        <w:tc>
          <w:tcPr>
            <w:tcW w:w="913" w:type="pct"/>
            <w:shd w:val="clear" w:color="auto" w:fill="F2F2F2" w:themeFill="background1" w:themeFillShade="F2"/>
          </w:tcPr>
          <w:p w14:paraId="2F88E309" w14:textId="77777777" w:rsidR="00742870" w:rsidRPr="00CD20C4" w:rsidDel="0098207E" w:rsidRDefault="00487258" w:rsidP="00CA46C1">
            <w:pPr>
              <w:spacing w:after="0"/>
              <w:rPr>
                <w:rFonts w:cs="Arial"/>
                <w:b/>
                <w:szCs w:val="20"/>
              </w:rPr>
            </w:pPr>
            <w:r w:rsidRPr="00CD20C4">
              <w:rPr>
                <w:rFonts w:cs="Arial"/>
                <w:b/>
                <w:szCs w:val="20"/>
              </w:rPr>
              <w:t>Telstra</w:t>
            </w:r>
          </w:p>
        </w:tc>
        <w:tc>
          <w:tcPr>
            <w:tcW w:w="832" w:type="pct"/>
            <w:shd w:val="clear" w:color="auto" w:fill="F2F2F2" w:themeFill="background1" w:themeFillShade="F2"/>
          </w:tcPr>
          <w:p w14:paraId="317A9727" w14:textId="77777777" w:rsidR="00742870" w:rsidRPr="00CD20C4" w:rsidRDefault="0062569F" w:rsidP="00991CD9">
            <w:pPr>
              <w:spacing w:after="120"/>
              <w:rPr>
                <w:rFonts w:cs="Arial"/>
                <w:szCs w:val="20"/>
              </w:rPr>
            </w:pPr>
            <w:r w:rsidRPr="00CD20C4">
              <w:rPr>
                <w:rFonts w:cs="Arial"/>
                <w:szCs w:val="20"/>
              </w:rPr>
              <w:t>The price based allocation of the 26 GHz band should remain the ACMA’s next highest priority</w:t>
            </w:r>
            <w:r w:rsidR="000E7BB8" w:rsidRPr="00CD20C4">
              <w:rPr>
                <w:rFonts w:cs="Arial"/>
                <w:szCs w:val="20"/>
              </w:rPr>
              <w:t>.</w:t>
            </w:r>
          </w:p>
          <w:p w14:paraId="47058690" w14:textId="77777777" w:rsidR="00742870" w:rsidRPr="00CD20C4" w:rsidDel="0098207E" w:rsidRDefault="000C7185" w:rsidP="00CA46C1">
            <w:pPr>
              <w:spacing w:after="0"/>
              <w:rPr>
                <w:rFonts w:cs="Arial"/>
                <w:szCs w:val="20"/>
              </w:rPr>
            </w:pPr>
            <w:r w:rsidRPr="00CD20C4">
              <w:rPr>
                <w:rFonts w:cs="Arial"/>
                <w:szCs w:val="20"/>
              </w:rPr>
              <w:t>Its</w:t>
            </w:r>
            <w:r w:rsidR="0062569F" w:rsidRPr="00CD20C4">
              <w:rPr>
                <w:rFonts w:cs="Arial"/>
                <w:szCs w:val="20"/>
              </w:rPr>
              <w:t xml:space="preserve"> clear first preference is for an auction of the entire 26 GHz band as early as possible in 2019. If there is a delay in reaching international consensus</w:t>
            </w:r>
            <w:r w:rsidR="001E41D5">
              <w:rPr>
                <w:rFonts w:cs="Arial"/>
                <w:szCs w:val="20"/>
              </w:rPr>
              <w:t xml:space="preserve">, they </w:t>
            </w:r>
            <w:r w:rsidR="0062569F" w:rsidRPr="00CD20C4">
              <w:rPr>
                <w:rFonts w:cs="Arial"/>
                <w:szCs w:val="20"/>
              </w:rPr>
              <w:t xml:space="preserve">believe the ACMA should move quickly to make the </w:t>
            </w:r>
            <w:r w:rsidR="0062569F" w:rsidRPr="00CD20C4">
              <w:rPr>
                <w:rFonts w:cs="Arial"/>
                <w:szCs w:val="20"/>
              </w:rPr>
              <w:lastRenderedPageBreak/>
              <w:t>upper part of the band (which does not pose a risk of interference on the EESS) available to mobile network operators.</w:t>
            </w:r>
          </w:p>
        </w:tc>
        <w:tc>
          <w:tcPr>
            <w:tcW w:w="814" w:type="pct"/>
            <w:shd w:val="clear" w:color="auto" w:fill="F2F2F2" w:themeFill="background1" w:themeFillShade="F2"/>
          </w:tcPr>
          <w:p w14:paraId="3A082285" w14:textId="77777777" w:rsidR="0062569F" w:rsidRPr="00CD20C4" w:rsidRDefault="000C7185" w:rsidP="00991CD9">
            <w:pPr>
              <w:autoSpaceDE w:val="0"/>
              <w:autoSpaceDN w:val="0"/>
              <w:adjustRightInd w:val="0"/>
              <w:spacing w:after="120" w:line="240" w:lineRule="auto"/>
              <w:rPr>
                <w:rFonts w:cs="Arial"/>
                <w:szCs w:val="20"/>
              </w:rPr>
            </w:pPr>
            <w:r w:rsidRPr="00CD20C4">
              <w:rPr>
                <w:rFonts w:cs="Arial"/>
                <w:color w:val="000000"/>
                <w:szCs w:val="20"/>
              </w:rPr>
              <w:lastRenderedPageBreak/>
              <w:t xml:space="preserve">Telstra </w:t>
            </w:r>
            <w:r w:rsidR="0062569F" w:rsidRPr="00CD20C4">
              <w:rPr>
                <w:rFonts w:cs="Arial"/>
                <w:color w:val="000000"/>
                <w:szCs w:val="20"/>
              </w:rPr>
              <w:t>believe</w:t>
            </w:r>
            <w:r w:rsidRPr="00CD20C4">
              <w:rPr>
                <w:rFonts w:cs="Arial"/>
                <w:color w:val="000000"/>
                <w:szCs w:val="20"/>
              </w:rPr>
              <w:t>s</w:t>
            </w:r>
            <w:r w:rsidR="0062569F" w:rsidRPr="00CD20C4">
              <w:rPr>
                <w:rFonts w:cs="Arial"/>
                <w:color w:val="000000"/>
                <w:szCs w:val="20"/>
              </w:rPr>
              <w:t xml:space="preserve"> the 850 MHz expansion band and the 900 MHz GSM bands should be allocated in a single price</w:t>
            </w:r>
            <w:r w:rsidR="001E41D5">
              <w:rPr>
                <w:rFonts w:cs="Arial"/>
                <w:color w:val="000000"/>
                <w:szCs w:val="20"/>
              </w:rPr>
              <w:t>-</w:t>
            </w:r>
            <w:r w:rsidR="0062569F" w:rsidRPr="00CD20C4">
              <w:rPr>
                <w:rFonts w:cs="Arial"/>
                <w:color w:val="000000"/>
                <w:szCs w:val="20"/>
              </w:rPr>
              <w:t xml:space="preserve">based allocation process. </w:t>
            </w:r>
          </w:p>
          <w:p w14:paraId="65212AD8" w14:textId="77777777" w:rsidR="00742870" w:rsidRPr="00CD20C4" w:rsidDel="0098207E" w:rsidRDefault="000C7185" w:rsidP="00C17DA2">
            <w:pPr>
              <w:autoSpaceDE w:val="0"/>
              <w:autoSpaceDN w:val="0"/>
              <w:adjustRightInd w:val="0"/>
              <w:spacing w:after="0" w:line="240" w:lineRule="auto"/>
              <w:rPr>
                <w:rFonts w:cs="Arial"/>
                <w:szCs w:val="20"/>
              </w:rPr>
            </w:pPr>
            <w:r w:rsidRPr="00CD20C4">
              <w:rPr>
                <w:rFonts w:cs="Arial"/>
                <w:szCs w:val="20"/>
              </w:rPr>
              <w:t xml:space="preserve">It </w:t>
            </w:r>
            <w:r w:rsidR="0062569F" w:rsidRPr="00CD20C4">
              <w:rPr>
                <w:rFonts w:cs="Arial"/>
                <w:szCs w:val="20"/>
              </w:rPr>
              <w:t>would only support the administrative allocation if all parties also agree to implement the 1 MHz downshift of the 850 MHz band.</w:t>
            </w:r>
          </w:p>
        </w:tc>
        <w:tc>
          <w:tcPr>
            <w:tcW w:w="932" w:type="pct"/>
            <w:shd w:val="clear" w:color="auto" w:fill="F2F2F2" w:themeFill="background1" w:themeFillShade="F2"/>
          </w:tcPr>
          <w:p w14:paraId="44759B34" w14:textId="77777777" w:rsidR="00742870" w:rsidRPr="00CD20C4" w:rsidDel="0098207E" w:rsidRDefault="00742870" w:rsidP="00CA46C1">
            <w:pPr>
              <w:spacing w:after="0"/>
              <w:rPr>
                <w:rFonts w:cs="Arial"/>
                <w:szCs w:val="20"/>
              </w:rPr>
            </w:pPr>
          </w:p>
        </w:tc>
        <w:tc>
          <w:tcPr>
            <w:tcW w:w="739" w:type="pct"/>
            <w:shd w:val="clear" w:color="auto" w:fill="F2F2F2" w:themeFill="background1" w:themeFillShade="F2"/>
          </w:tcPr>
          <w:p w14:paraId="6ECFE198" w14:textId="77777777" w:rsidR="00742870" w:rsidRPr="00CD20C4" w:rsidRDefault="000C7185" w:rsidP="00CA46C1">
            <w:pPr>
              <w:spacing w:after="40"/>
              <w:rPr>
                <w:rFonts w:cs="Arial"/>
                <w:szCs w:val="20"/>
              </w:rPr>
            </w:pPr>
            <w:r w:rsidRPr="00CD20C4">
              <w:rPr>
                <w:rFonts w:cs="Arial"/>
                <w:szCs w:val="20"/>
              </w:rPr>
              <w:t xml:space="preserve">Telstra </w:t>
            </w:r>
            <w:r w:rsidR="002A029F" w:rsidRPr="00CD20C4">
              <w:rPr>
                <w:rFonts w:cs="Arial"/>
                <w:szCs w:val="20"/>
              </w:rPr>
              <w:t>agree</w:t>
            </w:r>
            <w:r w:rsidRPr="00CD20C4">
              <w:rPr>
                <w:rFonts w:cs="Arial"/>
                <w:szCs w:val="20"/>
              </w:rPr>
              <w:t>s</w:t>
            </w:r>
            <w:r w:rsidR="002A029F" w:rsidRPr="00CD20C4">
              <w:rPr>
                <w:rFonts w:cs="Arial"/>
                <w:szCs w:val="20"/>
              </w:rPr>
              <w:t xml:space="preserve"> with the ACMA’s view that this band is regarded as a lower priority for allocation and consider the proposed timing for consultation on an options paper (</w:t>
            </w:r>
            <w:r w:rsidR="002A029F" w:rsidRPr="00CD20C4">
              <w:rPr>
                <w:rFonts w:cs="Arial"/>
                <w:i/>
                <w:szCs w:val="20"/>
              </w:rPr>
              <w:t>‘no earlier than Q3 2018</w:t>
            </w:r>
            <w:r w:rsidR="001E41D5">
              <w:rPr>
                <w:rFonts w:cs="Arial"/>
                <w:i/>
                <w:szCs w:val="20"/>
              </w:rPr>
              <w:t>–</w:t>
            </w:r>
            <w:r w:rsidR="002A029F" w:rsidRPr="00CD20C4">
              <w:rPr>
                <w:rFonts w:cs="Arial"/>
                <w:i/>
                <w:szCs w:val="20"/>
              </w:rPr>
              <w:t>19’</w:t>
            </w:r>
            <w:r w:rsidR="002A029F" w:rsidRPr="00CD20C4">
              <w:rPr>
                <w:rFonts w:cs="Arial"/>
                <w:szCs w:val="20"/>
              </w:rPr>
              <w:t>) is appropriate.</w:t>
            </w:r>
          </w:p>
        </w:tc>
        <w:tc>
          <w:tcPr>
            <w:tcW w:w="770" w:type="pct"/>
            <w:shd w:val="clear" w:color="auto" w:fill="F2F2F2" w:themeFill="background1" w:themeFillShade="F2"/>
          </w:tcPr>
          <w:p w14:paraId="380E7DE7" w14:textId="77777777" w:rsidR="00742870" w:rsidRPr="00CD20C4" w:rsidRDefault="00742870" w:rsidP="00CA46C1">
            <w:pPr>
              <w:spacing w:after="40"/>
              <w:rPr>
                <w:rFonts w:cs="Arial"/>
                <w:szCs w:val="20"/>
              </w:rPr>
            </w:pPr>
          </w:p>
        </w:tc>
      </w:tr>
    </w:tbl>
    <w:p w14:paraId="7FA4452E" w14:textId="77777777" w:rsidR="003F3B7E" w:rsidRPr="004B393F" w:rsidRDefault="003F3B7E" w:rsidP="008445FB">
      <w:pPr>
        <w:sectPr w:rsidR="003F3B7E" w:rsidRPr="004B393F" w:rsidSect="00344590">
          <w:pgSz w:w="16838" w:h="11906" w:orient="landscape" w:code="9"/>
          <w:pgMar w:top="1134" w:right="1945" w:bottom="1560" w:left="1134" w:header="709" w:footer="119" w:gutter="0"/>
          <w:cols w:space="708"/>
          <w:docGrid w:linePitch="360"/>
        </w:sectPr>
      </w:pPr>
    </w:p>
    <w:p w14:paraId="5BFEF011" w14:textId="77777777" w:rsidR="003F4B80" w:rsidRPr="005759E7" w:rsidRDefault="003F4B80" w:rsidP="005759E7">
      <w:pPr>
        <w:pStyle w:val="Heading2"/>
      </w:pPr>
      <w:bookmarkStart w:id="298" w:name="_Toc510104964"/>
      <w:bookmarkStart w:id="299" w:name="_Toc510105761"/>
      <w:bookmarkStart w:id="300" w:name="_Toc510795093"/>
      <w:bookmarkStart w:id="301" w:name="_Toc511716294"/>
      <w:bookmarkStart w:id="302" w:name="_Toc511719105"/>
      <w:bookmarkStart w:id="303" w:name="_Toc522794098"/>
      <w:bookmarkStart w:id="304" w:name="_Toc524517104"/>
      <w:r w:rsidRPr="005759E7">
        <w:lastRenderedPageBreak/>
        <w:t>What we</w:t>
      </w:r>
      <w:r w:rsidR="009D54DB">
        <w:t>’</w:t>
      </w:r>
      <w:r w:rsidRPr="005759E7">
        <w:t>re proposing</w:t>
      </w:r>
      <w:bookmarkEnd w:id="298"/>
      <w:bookmarkEnd w:id="299"/>
      <w:bookmarkEnd w:id="300"/>
      <w:bookmarkEnd w:id="301"/>
      <w:bookmarkEnd w:id="302"/>
      <w:bookmarkEnd w:id="303"/>
      <w:bookmarkEnd w:id="304"/>
    </w:p>
    <w:p w14:paraId="5E4CADD7" w14:textId="77777777" w:rsidR="00C25A23" w:rsidRDefault="00C25A23" w:rsidP="0077559E">
      <w:r>
        <w:t>The ACMA completed an auction in December 2017 for a multi-band allocation of unsold spectrum in four bands: 1800 MHz, 2</w:t>
      </w:r>
      <w:r w:rsidR="005234FD">
        <w:t xml:space="preserve"> </w:t>
      </w:r>
      <w:r>
        <w:t>GHz, 2.3 GHz and 3.4 GHz</w:t>
      </w:r>
      <w:r w:rsidR="005319E7">
        <w:t xml:space="preserve">. </w:t>
      </w:r>
      <w:r w:rsidR="000C6CE5">
        <w:t>It plans to offer t</w:t>
      </w:r>
      <w:r w:rsidR="005319E7">
        <w:t xml:space="preserve">he single lot that remained unsold at the conclusion of the auction </w:t>
      </w:r>
      <w:r w:rsidR="00F349E0">
        <w:t>shortly,</w:t>
      </w:r>
      <w:r w:rsidR="00166FA5" w:rsidDel="00F349E0">
        <w:t xml:space="preserve"> </w:t>
      </w:r>
      <w:r w:rsidR="00166FA5">
        <w:t>in Q3 2018</w:t>
      </w:r>
      <w:r w:rsidR="00C12F50">
        <w:t>–</w:t>
      </w:r>
      <w:r w:rsidR="00166FA5">
        <w:t>19</w:t>
      </w:r>
      <w:r w:rsidR="005319E7">
        <w:t>.</w:t>
      </w:r>
    </w:p>
    <w:p w14:paraId="3EB60000" w14:textId="77777777" w:rsidR="005C4341" w:rsidRDefault="005C4341">
      <w:r>
        <w:t xml:space="preserve">The 3.6 GHz band allocation is on track for an auction commencing in </w:t>
      </w:r>
      <w:r w:rsidR="003F3B7E">
        <w:t xml:space="preserve">late </w:t>
      </w:r>
      <w:r>
        <w:t xml:space="preserve">November 2018. </w:t>
      </w:r>
    </w:p>
    <w:p w14:paraId="672AD33E" w14:textId="77777777" w:rsidR="003F4B80" w:rsidRDefault="005234FD">
      <w:r>
        <w:t>T</w:t>
      </w:r>
      <w:r w:rsidR="003F4B80">
        <w:t xml:space="preserve">he remaining </w:t>
      </w:r>
      <w:r w:rsidR="003F4B80" w:rsidRPr="009F505F">
        <w:t xml:space="preserve">set of spectrum bands </w:t>
      </w:r>
      <w:r w:rsidR="002026C0">
        <w:t xml:space="preserve">under consideration for potential </w:t>
      </w:r>
      <w:r w:rsidR="003F4B80" w:rsidRPr="009F505F">
        <w:t>future allocation</w:t>
      </w:r>
      <w:r w:rsidR="003F4B80">
        <w:t xml:space="preserve"> is outlined in Table</w:t>
      </w:r>
      <w:r w:rsidR="00196553">
        <w:t>15</w:t>
      </w:r>
      <w:r w:rsidR="003F4B80" w:rsidRPr="009F505F">
        <w:t xml:space="preserve"> </w:t>
      </w:r>
    </w:p>
    <w:p w14:paraId="70F6EA28" w14:textId="77777777" w:rsidR="00585FB9" w:rsidRDefault="00585FB9" w:rsidP="00F57787">
      <w:pPr>
        <w:pStyle w:val="ACMATableHeader"/>
      </w:pPr>
      <w:r w:rsidRPr="00B870EF">
        <w:t xml:space="preserve">Spectrum bands </w:t>
      </w:r>
      <w:r>
        <w:t>under consideration</w:t>
      </w:r>
    </w:p>
    <w:tbl>
      <w:tblPr>
        <w:tblStyle w:val="TableGrid"/>
        <w:tblW w:w="5000" w:type="pct"/>
        <w:tblCellMar>
          <w:top w:w="57" w:type="dxa"/>
          <w:left w:w="57" w:type="dxa"/>
          <w:bottom w:w="57" w:type="dxa"/>
          <w:right w:w="57" w:type="dxa"/>
        </w:tblCellMar>
        <w:tblLook w:val="04A0" w:firstRow="1" w:lastRow="0" w:firstColumn="1" w:lastColumn="0" w:noHBand="0" w:noVBand="1"/>
        <w:tblCaption w:val="Spectrum bands currently being considered for allocation"/>
        <w:tblDescription w:val="Table includes information about multi-band residual lots, 3.6 GHz band, 850 MHz band, 900 MHz band, mmWave band and 1.5 GHz band."/>
      </w:tblPr>
      <w:tblGrid>
        <w:gridCol w:w="1272"/>
        <w:gridCol w:w="1685"/>
        <w:gridCol w:w="1581"/>
        <w:gridCol w:w="3123"/>
      </w:tblGrid>
      <w:tr w:rsidR="00585FB9" w14:paraId="44DE40DA" w14:textId="77777777" w:rsidTr="001B1B7A">
        <w:trPr>
          <w:tblHeader/>
        </w:trPr>
        <w:tc>
          <w:tcPr>
            <w:tcW w:w="830" w:type="pct"/>
            <w:shd w:val="clear" w:color="auto" w:fill="404040" w:themeFill="text1" w:themeFillTint="BF"/>
          </w:tcPr>
          <w:p w14:paraId="4B81EB4E" w14:textId="77777777" w:rsidR="00585FB9" w:rsidRPr="005A4D59" w:rsidRDefault="00585FB9" w:rsidP="00B747E1">
            <w:pPr>
              <w:pStyle w:val="TableHeading"/>
            </w:pPr>
            <w:r w:rsidRPr="005A4D59">
              <w:t>Band name</w:t>
            </w:r>
          </w:p>
        </w:tc>
        <w:tc>
          <w:tcPr>
            <w:tcW w:w="1100" w:type="pct"/>
            <w:shd w:val="clear" w:color="auto" w:fill="404040" w:themeFill="text1" w:themeFillTint="BF"/>
          </w:tcPr>
          <w:p w14:paraId="522CE308" w14:textId="77777777" w:rsidR="00585FB9" w:rsidRPr="005A4D59" w:rsidRDefault="00585FB9" w:rsidP="00B747E1">
            <w:pPr>
              <w:pStyle w:val="TableHeading"/>
            </w:pPr>
            <w:r w:rsidRPr="005A4D59">
              <w:t>Spectrum parameters</w:t>
            </w:r>
          </w:p>
        </w:tc>
        <w:tc>
          <w:tcPr>
            <w:tcW w:w="1032" w:type="pct"/>
            <w:shd w:val="clear" w:color="auto" w:fill="404040" w:themeFill="text1" w:themeFillTint="BF"/>
          </w:tcPr>
          <w:p w14:paraId="1F0E7FA0" w14:textId="77777777" w:rsidR="00585FB9" w:rsidRPr="005A4D59" w:rsidRDefault="00585FB9" w:rsidP="00B747E1">
            <w:pPr>
              <w:pStyle w:val="TableHeading"/>
            </w:pPr>
            <w:r w:rsidRPr="005A4D59">
              <w:t>Current use</w:t>
            </w:r>
          </w:p>
        </w:tc>
        <w:tc>
          <w:tcPr>
            <w:tcW w:w="2038" w:type="pct"/>
            <w:shd w:val="clear" w:color="auto" w:fill="404040" w:themeFill="text1" w:themeFillTint="BF"/>
          </w:tcPr>
          <w:p w14:paraId="0A42EF2D" w14:textId="77777777" w:rsidR="00585FB9" w:rsidRPr="005A4D59" w:rsidRDefault="00585FB9" w:rsidP="00B747E1">
            <w:pPr>
              <w:pStyle w:val="TableHeading"/>
            </w:pPr>
            <w:r w:rsidRPr="005A4D59">
              <w:t>Comments</w:t>
            </w:r>
          </w:p>
        </w:tc>
      </w:tr>
      <w:tr w:rsidR="00445F0B" w14:paraId="36EAC64E" w14:textId="77777777" w:rsidTr="001B1B7A">
        <w:tc>
          <w:tcPr>
            <w:tcW w:w="830" w:type="pct"/>
            <w:shd w:val="clear" w:color="auto" w:fill="F2F2F2" w:themeFill="background1" w:themeFillShade="F2"/>
          </w:tcPr>
          <w:p w14:paraId="1D6ACB2E" w14:textId="77777777" w:rsidR="00445F0B" w:rsidRPr="00EF20E4" w:rsidRDefault="00445F0B" w:rsidP="00445F0B">
            <w:pPr>
              <w:spacing w:after="0"/>
              <w:rPr>
                <w:b/>
                <w:szCs w:val="20"/>
              </w:rPr>
            </w:pPr>
            <w:r w:rsidRPr="00EF20E4">
              <w:rPr>
                <w:b/>
                <w:szCs w:val="20"/>
              </w:rPr>
              <w:t>850 MHz band</w:t>
            </w:r>
          </w:p>
        </w:tc>
        <w:tc>
          <w:tcPr>
            <w:tcW w:w="1100" w:type="pct"/>
            <w:shd w:val="clear" w:color="auto" w:fill="F2F2F2" w:themeFill="background1" w:themeFillShade="F2"/>
          </w:tcPr>
          <w:p w14:paraId="25017157" w14:textId="77777777" w:rsidR="00445F0B" w:rsidRPr="00EF20E4" w:rsidRDefault="00445F0B" w:rsidP="00445F0B">
            <w:pPr>
              <w:spacing w:after="0"/>
              <w:rPr>
                <w:szCs w:val="20"/>
              </w:rPr>
            </w:pPr>
            <w:r w:rsidRPr="00EF20E4">
              <w:rPr>
                <w:szCs w:val="20"/>
              </w:rPr>
              <w:t xml:space="preserve">809–824 MHz and </w:t>
            </w:r>
            <w:r w:rsidR="00FA7A83">
              <w:rPr>
                <w:szCs w:val="20"/>
              </w:rPr>
              <w:br/>
            </w:r>
            <w:r w:rsidRPr="00EF20E4">
              <w:rPr>
                <w:szCs w:val="20"/>
              </w:rPr>
              <w:t>855–870 MHz</w:t>
            </w:r>
          </w:p>
        </w:tc>
        <w:tc>
          <w:tcPr>
            <w:tcW w:w="1032" w:type="pct"/>
            <w:shd w:val="clear" w:color="auto" w:fill="F2F2F2" w:themeFill="background1" w:themeFillShade="F2"/>
          </w:tcPr>
          <w:p w14:paraId="4365D0FA" w14:textId="77777777" w:rsidR="00445F0B" w:rsidRPr="00EF20E4" w:rsidRDefault="00445F0B" w:rsidP="00445F0B">
            <w:pPr>
              <w:spacing w:after="0"/>
              <w:rPr>
                <w:szCs w:val="20"/>
              </w:rPr>
            </w:pPr>
            <w:r w:rsidRPr="00EF20E4">
              <w:rPr>
                <w:szCs w:val="20"/>
              </w:rPr>
              <w:t>Fixed links, point-to-multipoint, land mobile</w:t>
            </w:r>
          </w:p>
        </w:tc>
        <w:tc>
          <w:tcPr>
            <w:tcW w:w="2038" w:type="pct"/>
            <w:shd w:val="clear" w:color="auto" w:fill="F2F2F2" w:themeFill="background1" w:themeFillShade="F2"/>
          </w:tcPr>
          <w:p w14:paraId="340ECD67" w14:textId="77777777" w:rsidR="00445F0B" w:rsidRPr="00EF20E4" w:rsidRDefault="00445F0B" w:rsidP="00445F0B">
            <w:pPr>
              <w:spacing w:after="40"/>
              <w:rPr>
                <w:szCs w:val="20"/>
              </w:rPr>
            </w:pPr>
            <w:r w:rsidRPr="00EF20E4">
              <w:rPr>
                <w:szCs w:val="20"/>
              </w:rPr>
              <w:t>Decision to re-farm has been made already, but lengthy clearance process up to 2024.</w:t>
            </w:r>
          </w:p>
        </w:tc>
      </w:tr>
      <w:tr w:rsidR="00585FB9" w14:paraId="41402908" w14:textId="77777777" w:rsidTr="001B1B7A">
        <w:tc>
          <w:tcPr>
            <w:tcW w:w="830" w:type="pct"/>
            <w:shd w:val="clear" w:color="auto" w:fill="auto"/>
          </w:tcPr>
          <w:p w14:paraId="67C668AA" w14:textId="77777777" w:rsidR="00585FB9" w:rsidRPr="00EF20E4" w:rsidRDefault="00585FB9" w:rsidP="00585FB9">
            <w:pPr>
              <w:spacing w:after="0"/>
              <w:rPr>
                <w:b/>
                <w:szCs w:val="20"/>
              </w:rPr>
            </w:pPr>
            <w:r w:rsidRPr="00EF20E4">
              <w:rPr>
                <w:b/>
                <w:szCs w:val="20"/>
              </w:rPr>
              <w:t>900 MHz band</w:t>
            </w:r>
          </w:p>
        </w:tc>
        <w:tc>
          <w:tcPr>
            <w:tcW w:w="1100" w:type="pct"/>
            <w:shd w:val="clear" w:color="auto" w:fill="auto"/>
          </w:tcPr>
          <w:p w14:paraId="41AA22CA" w14:textId="77777777" w:rsidR="00585FB9" w:rsidRPr="00EF20E4" w:rsidRDefault="00585FB9" w:rsidP="00585FB9">
            <w:pPr>
              <w:spacing w:after="0"/>
              <w:rPr>
                <w:szCs w:val="20"/>
              </w:rPr>
            </w:pPr>
            <w:r w:rsidRPr="00EF20E4">
              <w:rPr>
                <w:szCs w:val="20"/>
              </w:rPr>
              <w:t xml:space="preserve">890–915 MHz and </w:t>
            </w:r>
            <w:r w:rsidR="00FA7A83">
              <w:rPr>
                <w:szCs w:val="20"/>
              </w:rPr>
              <w:br/>
            </w:r>
            <w:r w:rsidRPr="00EF20E4">
              <w:rPr>
                <w:szCs w:val="20"/>
              </w:rPr>
              <w:t>935–960 MHz</w:t>
            </w:r>
          </w:p>
        </w:tc>
        <w:tc>
          <w:tcPr>
            <w:tcW w:w="1032" w:type="pct"/>
            <w:shd w:val="clear" w:color="auto" w:fill="auto"/>
          </w:tcPr>
          <w:p w14:paraId="370581D7" w14:textId="77777777" w:rsidR="00585FB9" w:rsidRPr="00EF20E4" w:rsidRDefault="00585FB9" w:rsidP="00585FB9">
            <w:pPr>
              <w:spacing w:after="0"/>
              <w:rPr>
                <w:szCs w:val="20"/>
              </w:rPr>
            </w:pPr>
            <w:r w:rsidRPr="00EF20E4">
              <w:rPr>
                <w:szCs w:val="20"/>
              </w:rPr>
              <w:t>2G mobile (GSM), 3G, 4G</w:t>
            </w:r>
          </w:p>
        </w:tc>
        <w:tc>
          <w:tcPr>
            <w:tcW w:w="2038" w:type="pct"/>
            <w:shd w:val="clear" w:color="auto" w:fill="auto"/>
          </w:tcPr>
          <w:p w14:paraId="6952E281" w14:textId="77777777" w:rsidR="00585FB9" w:rsidRPr="00EF20E4" w:rsidRDefault="00585FB9" w:rsidP="001B1B7A">
            <w:pPr>
              <w:spacing w:after="120"/>
              <w:rPr>
                <w:szCs w:val="20"/>
              </w:rPr>
            </w:pPr>
            <w:r w:rsidRPr="00EF20E4">
              <w:rPr>
                <w:szCs w:val="20"/>
              </w:rPr>
              <w:t>2G shutdown imminent.</w:t>
            </w:r>
            <w:r w:rsidR="00447762" w:rsidRPr="00EF20E4">
              <w:rPr>
                <w:szCs w:val="20"/>
              </w:rPr>
              <w:t xml:space="preserve"> </w:t>
            </w:r>
          </w:p>
          <w:p w14:paraId="2BC8610E" w14:textId="77777777" w:rsidR="00585FB9" w:rsidRPr="00EF20E4" w:rsidRDefault="00585FB9" w:rsidP="00835E98">
            <w:pPr>
              <w:spacing w:after="0"/>
              <w:rPr>
                <w:szCs w:val="20"/>
              </w:rPr>
            </w:pPr>
            <w:r w:rsidRPr="00EF20E4">
              <w:rPr>
                <w:szCs w:val="20"/>
              </w:rPr>
              <w:t xml:space="preserve">ACMA </w:t>
            </w:r>
            <w:r w:rsidR="00835E98" w:rsidRPr="00EF20E4">
              <w:rPr>
                <w:szCs w:val="20"/>
              </w:rPr>
              <w:t>decision on way forward</w:t>
            </w:r>
            <w:r w:rsidRPr="00EF20E4">
              <w:rPr>
                <w:szCs w:val="20"/>
              </w:rPr>
              <w:t xml:space="preserve"> challenged by two mobile network operators, indicating current use as a 3G band</w:t>
            </w:r>
            <w:r w:rsidR="00673940" w:rsidRPr="00EF20E4">
              <w:rPr>
                <w:szCs w:val="20"/>
              </w:rPr>
              <w:t>.</w:t>
            </w:r>
            <w:r w:rsidRPr="00EF20E4">
              <w:rPr>
                <w:szCs w:val="20"/>
              </w:rPr>
              <w:t xml:space="preserve"> </w:t>
            </w:r>
            <w:r w:rsidR="005A2C0D">
              <w:rPr>
                <w:szCs w:val="20"/>
              </w:rPr>
              <w:t>The</w:t>
            </w:r>
            <w:r w:rsidR="0094426F">
              <w:rPr>
                <w:szCs w:val="20"/>
              </w:rPr>
              <w:t xml:space="preserve"> ACMA </w:t>
            </w:r>
            <w:r w:rsidR="002C6CB2">
              <w:rPr>
                <w:szCs w:val="20"/>
              </w:rPr>
              <w:t>is</w:t>
            </w:r>
            <w:r w:rsidR="005A2C0D">
              <w:rPr>
                <w:szCs w:val="20"/>
              </w:rPr>
              <w:t xml:space="preserve"> </w:t>
            </w:r>
            <w:r w:rsidR="0094426F">
              <w:rPr>
                <w:szCs w:val="20"/>
              </w:rPr>
              <w:t xml:space="preserve">reconsidering options in light of stakeholder feedback, </w:t>
            </w:r>
            <w:r w:rsidR="00AC4159">
              <w:rPr>
                <w:szCs w:val="20"/>
              </w:rPr>
              <w:t xml:space="preserve">with a focus on optimising the band </w:t>
            </w:r>
            <w:r w:rsidR="00A106C6">
              <w:rPr>
                <w:szCs w:val="20"/>
              </w:rPr>
              <w:t xml:space="preserve">for </w:t>
            </w:r>
            <w:r w:rsidR="00AC4159">
              <w:rPr>
                <w:szCs w:val="20"/>
              </w:rPr>
              <w:t xml:space="preserve">longer term </w:t>
            </w:r>
            <w:r w:rsidR="00485287">
              <w:rPr>
                <w:szCs w:val="20"/>
              </w:rPr>
              <w:t xml:space="preserve">uses </w:t>
            </w:r>
            <w:r w:rsidR="00AC4159">
              <w:rPr>
                <w:szCs w:val="20"/>
              </w:rPr>
              <w:t>for 5G, providing flexibility for licensees to negotiate a downshift in the 850 MHz band, and conversion to longer term licence tenure.</w:t>
            </w:r>
          </w:p>
        </w:tc>
      </w:tr>
      <w:tr w:rsidR="00445F0B" w14:paraId="74DC19EB" w14:textId="77777777" w:rsidTr="001B1B7A">
        <w:tc>
          <w:tcPr>
            <w:tcW w:w="830" w:type="pct"/>
            <w:shd w:val="clear" w:color="auto" w:fill="F2F2F2" w:themeFill="background1" w:themeFillShade="F2"/>
          </w:tcPr>
          <w:p w14:paraId="5572F4AB" w14:textId="77777777" w:rsidR="00445F0B" w:rsidRPr="00EF20E4" w:rsidRDefault="00835E98" w:rsidP="00445F0B">
            <w:pPr>
              <w:spacing w:after="0"/>
              <w:rPr>
                <w:b/>
                <w:szCs w:val="20"/>
              </w:rPr>
            </w:pPr>
            <w:r w:rsidRPr="00EF20E4">
              <w:rPr>
                <w:b/>
                <w:szCs w:val="20"/>
              </w:rPr>
              <w:t xml:space="preserve">26 GHz </w:t>
            </w:r>
            <w:r w:rsidR="00445F0B" w:rsidRPr="00EF20E4">
              <w:rPr>
                <w:b/>
                <w:szCs w:val="20"/>
              </w:rPr>
              <w:t>band</w:t>
            </w:r>
          </w:p>
        </w:tc>
        <w:tc>
          <w:tcPr>
            <w:tcW w:w="1100" w:type="pct"/>
            <w:shd w:val="clear" w:color="auto" w:fill="F2F2F2" w:themeFill="background1" w:themeFillShade="F2"/>
          </w:tcPr>
          <w:p w14:paraId="36211904" w14:textId="77777777" w:rsidR="00445F0B" w:rsidRPr="00EF20E4" w:rsidRDefault="00445F0B" w:rsidP="00445F0B">
            <w:pPr>
              <w:spacing w:after="0"/>
              <w:rPr>
                <w:szCs w:val="20"/>
              </w:rPr>
            </w:pPr>
            <w:r w:rsidRPr="00EF20E4">
              <w:rPr>
                <w:szCs w:val="20"/>
              </w:rPr>
              <w:t>24.25–27.5 GHz</w:t>
            </w:r>
          </w:p>
        </w:tc>
        <w:tc>
          <w:tcPr>
            <w:tcW w:w="1032" w:type="pct"/>
            <w:shd w:val="clear" w:color="auto" w:fill="F2F2F2" w:themeFill="background1" w:themeFillShade="F2"/>
          </w:tcPr>
          <w:p w14:paraId="2EC98093" w14:textId="77777777" w:rsidR="00445F0B" w:rsidRPr="00EF20E4" w:rsidRDefault="00445F0B" w:rsidP="00445F0B">
            <w:pPr>
              <w:spacing w:after="0"/>
              <w:rPr>
                <w:szCs w:val="20"/>
              </w:rPr>
            </w:pPr>
            <w:r w:rsidRPr="00EF20E4">
              <w:rPr>
                <w:szCs w:val="20"/>
              </w:rPr>
              <w:t>Space research, FSS satellite (ESA, CSIRO, NASA), NBN</w:t>
            </w:r>
            <w:r w:rsidR="00DC54D4" w:rsidRPr="00EF20E4">
              <w:rPr>
                <w:szCs w:val="20"/>
              </w:rPr>
              <w:t xml:space="preserve"> Co</w:t>
            </w:r>
          </w:p>
        </w:tc>
        <w:tc>
          <w:tcPr>
            <w:tcW w:w="2038" w:type="pct"/>
            <w:shd w:val="clear" w:color="auto" w:fill="F2F2F2" w:themeFill="background1" w:themeFillShade="F2"/>
          </w:tcPr>
          <w:p w14:paraId="0356643E" w14:textId="77777777" w:rsidR="00445F0B" w:rsidRPr="00EF20E4" w:rsidRDefault="00445F0B" w:rsidP="001B1B7A">
            <w:pPr>
              <w:spacing w:after="120"/>
              <w:rPr>
                <w:szCs w:val="20"/>
              </w:rPr>
            </w:pPr>
            <w:r w:rsidRPr="00EF20E4">
              <w:rPr>
                <w:szCs w:val="20"/>
              </w:rPr>
              <w:t xml:space="preserve">Second of the 5G bands. </w:t>
            </w:r>
          </w:p>
          <w:p w14:paraId="24505406" w14:textId="77777777" w:rsidR="00445F0B" w:rsidRPr="00EF20E4" w:rsidRDefault="00445F0B" w:rsidP="001B1B7A">
            <w:pPr>
              <w:spacing w:after="120"/>
              <w:rPr>
                <w:szCs w:val="20"/>
              </w:rPr>
            </w:pPr>
            <w:r w:rsidRPr="00EF20E4">
              <w:rPr>
                <w:szCs w:val="20"/>
              </w:rPr>
              <w:t>Strong market interest expressed in accelerating planning and allocation.</w:t>
            </w:r>
          </w:p>
          <w:p w14:paraId="38B4382E" w14:textId="77777777" w:rsidR="00445F0B" w:rsidRPr="00EF20E4" w:rsidRDefault="00445F0B" w:rsidP="00186911">
            <w:pPr>
              <w:spacing w:after="40"/>
              <w:rPr>
                <w:szCs w:val="20"/>
              </w:rPr>
            </w:pPr>
            <w:r w:rsidRPr="00EF20E4">
              <w:rPr>
                <w:szCs w:val="20"/>
              </w:rPr>
              <w:t>ACMA</w:t>
            </w:r>
            <w:r w:rsidRPr="00EF20E4" w:rsidDel="00186911">
              <w:rPr>
                <w:szCs w:val="20"/>
              </w:rPr>
              <w:t xml:space="preserve"> </w:t>
            </w:r>
            <w:r w:rsidRPr="00EF20E4">
              <w:rPr>
                <w:szCs w:val="20"/>
              </w:rPr>
              <w:t xml:space="preserve">focus </w:t>
            </w:r>
            <w:r w:rsidR="00A176D4">
              <w:rPr>
                <w:szCs w:val="20"/>
              </w:rPr>
              <w:t xml:space="preserve">is </w:t>
            </w:r>
            <w:r w:rsidRPr="00EF20E4">
              <w:rPr>
                <w:szCs w:val="20"/>
              </w:rPr>
              <w:t xml:space="preserve">on 26 GHz band </w:t>
            </w:r>
            <w:r w:rsidR="00561515">
              <w:rPr>
                <w:szCs w:val="20"/>
              </w:rPr>
              <w:t xml:space="preserve">planning and licensing options for an </w:t>
            </w:r>
            <w:r w:rsidRPr="00EF20E4">
              <w:rPr>
                <w:szCs w:val="20"/>
              </w:rPr>
              <w:t>a</w:t>
            </w:r>
            <w:r w:rsidR="00A176D4">
              <w:rPr>
                <w:szCs w:val="20"/>
              </w:rPr>
              <w:t>llocation</w:t>
            </w:r>
            <w:r w:rsidR="00123A51">
              <w:rPr>
                <w:szCs w:val="20"/>
              </w:rPr>
              <w:t>, noting delays in international standardisation processes impacting on timing.</w:t>
            </w:r>
          </w:p>
        </w:tc>
      </w:tr>
      <w:tr w:rsidR="00585FB9" w14:paraId="242B6A56" w14:textId="77777777" w:rsidTr="001B1B7A">
        <w:tc>
          <w:tcPr>
            <w:tcW w:w="830" w:type="pct"/>
            <w:shd w:val="clear" w:color="auto" w:fill="auto"/>
          </w:tcPr>
          <w:p w14:paraId="3ADB4B13" w14:textId="77777777" w:rsidR="00585FB9" w:rsidRPr="00EF20E4" w:rsidRDefault="00585FB9" w:rsidP="00585FB9">
            <w:pPr>
              <w:spacing w:after="0"/>
              <w:rPr>
                <w:b/>
                <w:szCs w:val="20"/>
              </w:rPr>
            </w:pPr>
            <w:r w:rsidRPr="00EF20E4">
              <w:rPr>
                <w:b/>
                <w:szCs w:val="20"/>
              </w:rPr>
              <w:t>1.5 GHz band</w:t>
            </w:r>
          </w:p>
        </w:tc>
        <w:tc>
          <w:tcPr>
            <w:tcW w:w="1100" w:type="pct"/>
            <w:shd w:val="clear" w:color="auto" w:fill="auto"/>
          </w:tcPr>
          <w:p w14:paraId="09DBF7BD" w14:textId="77777777" w:rsidR="00585FB9" w:rsidRPr="00EF20E4" w:rsidRDefault="00585FB9" w:rsidP="00585FB9">
            <w:pPr>
              <w:spacing w:after="0"/>
              <w:rPr>
                <w:szCs w:val="20"/>
              </w:rPr>
            </w:pPr>
            <w:r w:rsidRPr="00EF20E4">
              <w:rPr>
                <w:szCs w:val="20"/>
              </w:rPr>
              <w:t>1427–1518 MHz</w:t>
            </w:r>
          </w:p>
        </w:tc>
        <w:tc>
          <w:tcPr>
            <w:tcW w:w="1032" w:type="pct"/>
            <w:shd w:val="clear" w:color="auto" w:fill="auto"/>
          </w:tcPr>
          <w:p w14:paraId="56BBCD59" w14:textId="77777777" w:rsidR="00585FB9" w:rsidRPr="00EF20E4" w:rsidRDefault="00585FB9" w:rsidP="00585FB9">
            <w:pPr>
              <w:spacing w:after="0"/>
              <w:rPr>
                <w:szCs w:val="20"/>
              </w:rPr>
            </w:pPr>
            <w:r w:rsidRPr="00EF20E4">
              <w:rPr>
                <w:szCs w:val="20"/>
              </w:rPr>
              <w:t>Point-to-point, some multipoint, Defence</w:t>
            </w:r>
          </w:p>
        </w:tc>
        <w:tc>
          <w:tcPr>
            <w:tcW w:w="2038" w:type="pct"/>
            <w:shd w:val="clear" w:color="auto" w:fill="auto"/>
          </w:tcPr>
          <w:p w14:paraId="7DC1B84E" w14:textId="77777777" w:rsidR="005234FD" w:rsidRPr="00EF20E4" w:rsidRDefault="00585FB9" w:rsidP="001B1B7A">
            <w:pPr>
              <w:spacing w:after="120"/>
              <w:rPr>
                <w:szCs w:val="20"/>
              </w:rPr>
            </w:pPr>
            <w:r w:rsidRPr="00EF20E4">
              <w:rPr>
                <w:szCs w:val="20"/>
              </w:rPr>
              <w:t xml:space="preserve">Technology standardisation progressing. </w:t>
            </w:r>
          </w:p>
          <w:p w14:paraId="0BC87489" w14:textId="77777777" w:rsidR="00585FB9" w:rsidRPr="00EF20E4" w:rsidRDefault="00585FB9" w:rsidP="00D232C0">
            <w:pPr>
              <w:spacing w:after="0"/>
              <w:rPr>
                <w:szCs w:val="20"/>
              </w:rPr>
            </w:pPr>
            <w:r w:rsidRPr="00EF20E4">
              <w:rPr>
                <w:szCs w:val="20"/>
              </w:rPr>
              <w:t>Lower level of near-term domestic interest</w:t>
            </w:r>
            <w:r w:rsidR="00123A51">
              <w:rPr>
                <w:szCs w:val="20"/>
              </w:rPr>
              <w:t>, but available for allocation consideration, should demand change</w:t>
            </w:r>
            <w:r w:rsidRPr="00EF20E4">
              <w:rPr>
                <w:szCs w:val="20"/>
              </w:rPr>
              <w:t>.</w:t>
            </w:r>
            <w:r w:rsidR="00D232C0">
              <w:rPr>
                <w:szCs w:val="20"/>
              </w:rPr>
              <w:t xml:space="preserve"> </w:t>
            </w:r>
          </w:p>
        </w:tc>
      </w:tr>
    </w:tbl>
    <w:p w14:paraId="309B326B" w14:textId="77777777" w:rsidR="00585FB9" w:rsidRDefault="00585FB9" w:rsidP="005759E7">
      <w:pPr>
        <w:pStyle w:val="ACMASpaceaftertable"/>
      </w:pPr>
    </w:p>
    <w:p w14:paraId="4CEA1028" w14:textId="77777777" w:rsidR="00C12F50" w:rsidRDefault="003F4B80" w:rsidP="001B1B7A">
      <w:pPr>
        <w:pStyle w:val="Heading3"/>
        <w:rPr>
          <w:rFonts w:asciiTheme="majorHAnsi" w:eastAsiaTheme="majorEastAsia" w:hAnsiTheme="majorHAnsi"/>
          <w:sz w:val="26"/>
        </w:rPr>
      </w:pPr>
      <w:bookmarkStart w:id="305" w:name="_Toc524517105"/>
      <w:r>
        <w:lastRenderedPageBreak/>
        <w:t>3.6 GHz</w:t>
      </w:r>
      <w:bookmarkEnd w:id="305"/>
    </w:p>
    <w:p w14:paraId="4A7AADD7" w14:textId="77777777" w:rsidR="00CA71C5" w:rsidRDefault="00190408">
      <w:r>
        <w:t xml:space="preserve">The </w:t>
      </w:r>
      <w:r w:rsidR="0037046B">
        <w:t>m</w:t>
      </w:r>
      <w:r w:rsidR="0037046B" w:rsidRPr="0037046B">
        <w:t>inister</w:t>
      </w:r>
      <w:r w:rsidR="0037046B">
        <w:t xml:space="preserve"> </w:t>
      </w:r>
      <w:r w:rsidR="003F4B80">
        <w:t xml:space="preserve">made </w:t>
      </w:r>
      <w:r w:rsidR="00304A26">
        <w:t xml:space="preserve">relevant </w:t>
      </w:r>
      <w:r w:rsidR="003F4B80">
        <w:t>reallocation declaration</w:t>
      </w:r>
      <w:r w:rsidR="00304A26">
        <w:t>s</w:t>
      </w:r>
      <w:r w:rsidR="003F4B80">
        <w:t xml:space="preserve"> </w:t>
      </w:r>
      <w:r>
        <w:t xml:space="preserve">on 8 </w:t>
      </w:r>
      <w:r w:rsidR="003F4B80">
        <w:t>March 2018</w:t>
      </w:r>
      <w:r w:rsidR="001C6582">
        <w:rPr>
          <w:rStyle w:val="FootnoteReference"/>
        </w:rPr>
        <w:footnoteReference w:id="38"/>
      </w:r>
      <w:r w:rsidR="003F4B80">
        <w:t xml:space="preserve"> and the band is </w:t>
      </w:r>
      <w:r w:rsidR="005319E7">
        <w:t xml:space="preserve">now </w:t>
      </w:r>
      <w:r w:rsidR="003F4B80">
        <w:t>proceeding to an auction</w:t>
      </w:r>
      <w:r w:rsidR="001E3A8F">
        <w:t xml:space="preserve"> </w:t>
      </w:r>
      <w:r w:rsidR="004B393F">
        <w:t xml:space="preserve">that is expected to commence </w:t>
      </w:r>
      <w:r w:rsidR="003F4B80">
        <w:t xml:space="preserve">in </w:t>
      </w:r>
      <w:r w:rsidR="00186911">
        <w:t xml:space="preserve">late </w:t>
      </w:r>
      <w:r w:rsidR="001E3A8F">
        <w:t>November</w:t>
      </w:r>
      <w:r w:rsidR="003F4B80">
        <w:t xml:space="preserve"> 2018.</w:t>
      </w:r>
      <w:r w:rsidR="00924DDE">
        <w:t xml:space="preserve"> </w:t>
      </w:r>
      <w:r w:rsidR="00C12F50">
        <w:t>The ACMA p</w:t>
      </w:r>
      <w:r w:rsidR="00924DDE">
        <w:t xml:space="preserve">reviously </w:t>
      </w:r>
      <w:r w:rsidR="00CA71C5">
        <w:t xml:space="preserve">advised an auction </w:t>
      </w:r>
      <w:r w:rsidR="004B393F">
        <w:t xml:space="preserve">was likely </w:t>
      </w:r>
      <w:r w:rsidR="00CA71C5">
        <w:t xml:space="preserve">to be held in October, but </w:t>
      </w:r>
      <w:r w:rsidR="00186911">
        <w:t>a longer two</w:t>
      </w:r>
      <w:r w:rsidR="00C12F50">
        <w:t>-</w:t>
      </w:r>
      <w:r w:rsidR="00186911">
        <w:t>step application process has been introduced</w:t>
      </w:r>
      <w:r w:rsidR="004B393F">
        <w:t xml:space="preserve"> to respond to concerns from interested parties about the challenges created by a </w:t>
      </w:r>
      <w:r w:rsidR="00F5063F">
        <w:t>single</w:t>
      </w:r>
      <w:r w:rsidR="00C12F50">
        <w:t>-</w:t>
      </w:r>
      <w:r w:rsidR="00F5063F">
        <w:t>step</w:t>
      </w:r>
      <w:r w:rsidR="004B393F">
        <w:t xml:space="preserve"> application period.</w:t>
      </w:r>
      <w:r w:rsidR="004B393F" w:rsidDel="004B393F">
        <w:t xml:space="preserve"> </w:t>
      </w:r>
    </w:p>
    <w:p w14:paraId="5F6BECBE" w14:textId="77777777" w:rsidR="00C12F50" w:rsidRDefault="005234FD" w:rsidP="001B1B7A">
      <w:pPr>
        <w:pStyle w:val="Heading3"/>
        <w:rPr>
          <w:rFonts w:asciiTheme="majorHAnsi" w:eastAsiaTheme="majorEastAsia" w:hAnsiTheme="majorHAnsi"/>
          <w:sz w:val="26"/>
        </w:rPr>
      </w:pPr>
      <w:bookmarkStart w:id="306" w:name="_Toc524517106"/>
      <w:r>
        <w:t>mmW</w:t>
      </w:r>
      <w:r w:rsidR="003F4B80" w:rsidRPr="00D3636A">
        <w:t>ave spectrum</w:t>
      </w:r>
      <w:bookmarkEnd w:id="306"/>
    </w:p>
    <w:p w14:paraId="4A66147B" w14:textId="77777777" w:rsidR="001E530C" w:rsidRDefault="00123A51" w:rsidP="001E530C">
      <w:r>
        <w:t>T</w:t>
      </w:r>
      <w:r w:rsidR="000C6CE5">
        <w:t>he</w:t>
      </w:r>
      <w:r w:rsidR="003F4B80" w:rsidRPr="004C2B18">
        <w:t xml:space="preserve"> 24.25–27.5 GHz </w:t>
      </w:r>
      <w:r w:rsidR="00835E98">
        <w:t xml:space="preserve">band (the 26 GHz band) </w:t>
      </w:r>
      <w:r>
        <w:t xml:space="preserve">remains the next candidate band for allocation, following the </w:t>
      </w:r>
      <w:r w:rsidR="003F4B80">
        <w:t>allocation of the 3.6 GHz band</w:t>
      </w:r>
      <w:r w:rsidR="003F4B80" w:rsidRPr="004C2B18">
        <w:t xml:space="preserve">. </w:t>
      </w:r>
    </w:p>
    <w:p w14:paraId="492C9C42" w14:textId="77777777" w:rsidR="00EC2F66" w:rsidRDefault="001E530C" w:rsidP="00EC2F66">
      <w:r>
        <w:t>The ACMA is currently preparing a consultation paper outlining the various planning and configuration options for the 26 GHz band</w:t>
      </w:r>
      <w:r w:rsidR="00CA71C5">
        <w:t xml:space="preserve"> for release in </w:t>
      </w:r>
      <w:r w:rsidR="00835E98" w:rsidRPr="00293B01">
        <w:t xml:space="preserve">Q1 of the </w:t>
      </w:r>
      <w:r w:rsidR="003F4B80" w:rsidRPr="00293B01">
        <w:t>201</w:t>
      </w:r>
      <w:r w:rsidR="00835E98" w:rsidRPr="00293B01">
        <w:t>8</w:t>
      </w:r>
      <w:r w:rsidR="005234FD" w:rsidRPr="00293B01">
        <w:t>–</w:t>
      </w:r>
      <w:r w:rsidR="003F4B80" w:rsidRPr="00293B01">
        <w:t>1</w:t>
      </w:r>
      <w:r w:rsidR="00835E98" w:rsidRPr="00293B01">
        <w:t>9</w:t>
      </w:r>
      <w:r w:rsidR="003F4B80" w:rsidRPr="00293B01">
        <w:t xml:space="preserve"> </w:t>
      </w:r>
      <w:r w:rsidR="00355B27" w:rsidRPr="00293B01">
        <w:t xml:space="preserve">financial </w:t>
      </w:r>
      <w:r w:rsidR="003F4B80" w:rsidRPr="00293B01">
        <w:t xml:space="preserve">year to seek views on proposals that the band </w:t>
      </w:r>
      <w:r w:rsidR="003F4B80" w:rsidRPr="00E53CF1">
        <w:t>proceeds to re</w:t>
      </w:r>
      <w:r w:rsidR="00214E77" w:rsidRPr="00E53CF1">
        <w:noBreakHyphen/>
      </w:r>
      <w:r w:rsidR="003F4B80" w:rsidRPr="00E53CF1">
        <w:t xml:space="preserve">allocation. </w:t>
      </w:r>
      <w:r w:rsidR="000C6CE5" w:rsidRPr="00E53CF1">
        <w:t>The paper will deal with licence design as well as outstanding planning issues and options.</w:t>
      </w:r>
      <w:r w:rsidR="00835E98" w:rsidRPr="00E53CF1">
        <w:t xml:space="preserve"> </w:t>
      </w:r>
      <w:r w:rsidR="00293B01" w:rsidRPr="00E53CF1">
        <w:t xml:space="preserve">Subject to the resolution of international harmonisation issues at the </w:t>
      </w:r>
      <w:r w:rsidR="001C517F" w:rsidRPr="00B926A1">
        <w:t>WRC</w:t>
      </w:r>
      <w:r w:rsidR="00293B01" w:rsidRPr="00E53CF1">
        <w:t xml:space="preserve"> in</w:t>
      </w:r>
      <w:r w:rsidR="00293B01">
        <w:t xml:space="preserve"> March 2019, the ACMA would then expect to have greater certainty about the technical framework to develop licence products for allocation (in the latter part of 2020)</w:t>
      </w:r>
      <w:r w:rsidR="00561BBD">
        <w:t>.</w:t>
      </w:r>
      <w:r w:rsidR="00293B01">
        <w:t xml:space="preserve"> </w:t>
      </w:r>
      <w:r w:rsidR="00EC2F66">
        <w:t>Responses to the consultation will further inform the ACMA’s consideration of the timing of a possible allocation for the band.</w:t>
      </w:r>
    </w:p>
    <w:p w14:paraId="4F736731" w14:textId="77777777" w:rsidR="00C12F50" w:rsidRDefault="003F4B80" w:rsidP="001B1B7A">
      <w:pPr>
        <w:pStyle w:val="Heading3"/>
      </w:pPr>
      <w:bookmarkStart w:id="307" w:name="_Toc524517107"/>
      <w:r>
        <w:t>9</w:t>
      </w:r>
      <w:r w:rsidRPr="00715B45">
        <w:t>00 MHz</w:t>
      </w:r>
      <w:bookmarkEnd w:id="307"/>
    </w:p>
    <w:p w14:paraId="194AAD20" w14:textId="77777777" w:rsidR="001B76CC" w:rsidRDefault="003F4B80">
      <w:r w:rsidRPr="006C5C79">
        <w:t>In October 2017, the ACMA consulted on</w:t>
      </w:r>
      <w:r>
        <w:t xml:space="preserve"> its reallocation proposal in </w:t>
      </w:r>
      <w:hyperlink r:id="rId57" w:history="1">
        <w:r w:rsidRPr="00964F02">
          <w:rPr>
            <w:rStyle w:val="Hyperlink"/>
            <w:i/>
          </w:rPr>
          <w:t>Reconfiguring the 890−915/935−960 MHz band: Way forward</w:t>
        </w:r>
      </w:hyperlink>
      <w:r w:rsidRPr="001E52AB">
        <w:t>. Submissions</w:t>
      </w:r>
      <w:r w:rsidRPr="001E52AB" w:rsidDel="001E3A8F">
        <w:t xml:space="preserve"> </w:t>
      </w:r>
      <w:r w:rsidRPr="001E52AB">
        <w:t xml:space="preserve">indicated that immediate interest in reallocation of this spectrum is substantially lower than for the mmWave band. </w:t>
      </w:r>
      <w:r w:rsidR="00D13FC5">
        <w:t>S</w:t>
      </w:r>
      <w:r w:rsidRPr="001E52AB">
        <w:t xml:space="preserve">ubmitters to the 900 MHz reconfiguration consultations also raised concerns about the </w:t>
      </w:r>
      <w:r w:rsidR="00D13FC5">
        <w:t xml:space="preserve">spectrum </w:t>
      </w:r>
      <w:r w:rsidRPr="001E52AB">
        <w:t xml:space="preserve">available for reallocation, </w:t>
      </w:r>
      <w:r w:rsidR="00D13FC5">
        <w:t>including</w:t>
      </w:r>
      <w:r w:rsidRPr="001E52AB">
        <w:t xml:space="preserve"> </w:t>
      </w:r>
      <w:r w:rsidR="00D13FC5">
        <w:t>the role of 900 MHz in</w:t>
      </w:r>
      <w:r w:rsidRPr="001E52AB">
        <w:t xml:space="preserve"> 3G regional coverage</w:t>
      </w:r>
      <w:r w:rsidR="005234FD">
        <w:t>,</w:t>
      </w:r>
      <w:r w:rsidRPr="001E52AB">
        <w:t xml:space="preserve"> and mitigations for consumers migrating from 2G to 3G and 4G technologies. The ACMA sought additional information from the mobile network operators to inform its consideration of the reconfiguration issues in the band. </w:t>
      </w:r>
    </w:p>
    <w:p w14:paraId="60E074CC" w14:textId="77777777" w:rsidR="00AC4159" w:rsidRPr="0083362E" w:rsidRDefault="003F4B80" w:rsidP="001B76CC">
      <w:pPr>
        <w:rPr>
          <w:rFonts w:asciiTheme="minorHAnsi" w:hAnsiTheme="minorHAnsi" w:cstheme="minorHAnsi"/>
          <w:szCs w:val="20"/>
        </w:rPr>
      </w:pPr>
      <w:r>
        <w:t>F</w:t>
      </w:r>
      <w:r w:rsidRPr="001E52AB">
        <w:t xml:space="preserve">or the purposes of the allocation </w:t>
      </w:r>
      <w:r w:rsidR="00BA6010">
        <w:t>work plan</w:t>
      </w:r>
      <w:r w:rsidRPr="001E52AB">
        <w:t xml:space="preserve">, </w:t>
      </w:r>
      <w:r w:rsidR="007641B3">
        <w:t xml:space="preserve">the ACMA </w:t>
      </w:r>
      <w:r w:rsidR="00B9054D">
        <w:t>remain</w:t>
      </w:r>
      <w:r w:rsidR="00864CAA">
        <w:t xml:space="preserve">s </w:t>
      </w:r>
      <w:r w:rsidR="007641B3">
        <w:t xml:space="preserve">keen to consider ways to optimise holdings in the band, </w:t>
      </w:r>
      <w:r w:rsidR="001B76CC">
        <w:t xml:space="preserve">noting that the </w:t>
      </w:r>
      <w:r w:rsidR="00AC4159" w:rsidRPr="0083362E">
        <w:rPr>
          <w:rFonts w:cstheme="minorHAnsi"/>
          <w:szCs w:val="20"/>
        </w:rPr>
        <w:t>aggregation of mobile spectrum into fewer, broader-band holdings where possible</w:t>
      </w:r>
      <w:r w:rsidR="001B76CC">
        <w:rPr>
          <w:rFonts w:cstheme="minorHAnsi"/>
          <w:szCs w:val="20"/>
        </w:rPr>
        <w:t>,</w:t>
      </w:r>
      <w:r w:rsidR="00AC4159" w:rsidRPr="0083362E">
        <w:rPr>
          <w:rFonts w:cstheme="minorHAnsi"/>
          <w:szCs w:val="20"/>
        </w:rPr>
        <w:t xml:space="preserve"> will minimise </w:t>
      </w:r>
      <w:r w:rsidR="00FF7AA0">
        <w:rPr>
          <w:rFonts w:cstheme="minorHAnsi"/>
          <w:szCs w:val="20"/>
        </w:rPr>
        <w:t xml:space="preserve">any need for </w:t>
      </w:r>
      <w:r w:rsidR="001B76CC">
        <w:rPr>
          <w:rFonts w:cstheme="minorHAnsi"/>
          <w:szCs w:val="20"/>
        </w:rPr>
        <w:t>future intervention as de</w:t>
      </w:r>
      <w:r w:rsidR="00864CAA">
        <w:rPr>
          <w:rFonts w:cstheme="minorHAnsi"/>
          <w:szCs w:val="20"/>
        </w:rPr>
        <w:t>m</w:t>
      </w:r>
      <w:r w:rsidR="001B76CC">
        <w:rPr>
          <w:rFonts w:cstheme="minorHAnsi"/>
          <w:szCs w:val="20"/>
        </w:rPr>
        <w:t xml:space="preserve">and for </w:t>
      </w:r>
      <w:r w:rsidR="00AC4159" w:rsidRPr="0083362E">
        <w:rPr>
          <w:rFonts w:cstheme="minorHAnsi"/>
          <w:szCs w:val="20"/>
        </w:rPr>
        <w:t xml:space="preserve">sub-1 GHz 5G </w:t>
      </w:r>
      <w:r w:rsidR="001B76CC">
        <w:rPr>
          <w:rFonts w:cstheme="minorHAnsi"/>
          <w:szCs w:val="20"/>
        </w:rPr>
        <w:t xml:space="preserve">optimised spectrum </w:t>
      </w:r>
      <w:r w:rsidR="00AC4159" w:rsidRPr="0083362E">
        <w:rPr>
          <w:rFonts w:cstheme="minorHAnsi"/>
          <w:szCs w:val="20"/>
        </w:rPr>
        <w:t>gains momentum.</w:t>
      </w:r>
    </w:p>
    <w:p w14:paraId="1DED9D96" w14:textId="77777777" w:rsidR="00EC2F66" w:rsidRDefault="001B76CC" w:rsidP="00C12F50">
      <w:r>
        <w:t xml:space="preserve">As it develops further options, the ACMA is </w:t>
      </w:r>
      <w:r w:rsidR="00944FEE">
        <w:t xml:space="preserve">interested in canvasing </w:t>
      </w:r>
      <w:r w:rsidR="00C57F57">
        <w:t>approaches</w:t>
      </w:r>
      <w:r w:rsidR="00944FEE">
        <w:t xml:space="preserve"> that pr</w:t>
      </w:r>
      <w:r w:rsidR="00864CAA">
        <w:t xml:space="preserve">ovide for </w:t>
      </w:r>
      <w:r w:rsidR="00AC4159" w:rsidRPr="0083362E">
        <w:t>fully tradable, long-duration licences</w:t>
      </w:r>
      <w:r w:rsidR="00C12F50">
        <w:t>,</w:t>
      </w:r>
      <w:r w:rsidR="00C12F50" w:rsidRPr="0083362E">
        <w:t xml:space="preserve"> </w:t>
      </w:r>
      <w:r w:rsidR="00864CAA">
        <w:t>with aligned licence tenure to support licence transfers and spectrum trading.</w:t>
      </w:r>
      <w:r w:rsidR="00AC4159" w:rsidRPr="0083362E">
        <w:t xml:space="preserve"> As part of th</w:t>
      </w:r>
      <w:r w:rsidR="00864CAA">
        <w:t xml:space="preserve">ese </w:t>
      </w:r>
      <w:r w:rsidR="00AC4159" w:rsidRPr="0083362E">
        <w:t xml:space="preserve">optimisation </w:t>
      </w:r>
      <w:r w:rsidR="004959E5" w:rsidRPr="00493B5D">
        <w:t>considerations</w:t>
      </w:r>
      <w:r w:rsidR="00864CAA">
        <w:t xml:space="preserve">, </w:t>
      </w:r>
      <w:r w:rsidR="00AC4159" w:rsidRPr="0083362E">
        <w:t>the ACMA also proposes the reallocation of the so-called 850 MHz ‘expansion band’ for wireless broadband.</w:t>
      </w:r>
      <w:r w:rsidR="004959E5">
        <w:t xml:space="preserve"> </w:t>
      </w:r>
      <w:r w:rsidR="00EC2F66">
        <w:t xml:space="preserve">As a consequence of accelerating the allocation of the 5G bands, the timing for a combined 850/900 MHz band allocation has been </w:t>
      </w:r>
      <w:r w:rsidR="00C57F57">
        <w:t>extended</w:t>
      </w:r>
      <w:r w:rsidR="00EC2F66">
        <w:t xml:space="preserve">. The timing reflects that reallocation of the 900 MHz band is still under consideration, and also reflects the lower level of interest expressed by stakeholders for the remaining bands, compared with access to bands suitable for 5G. </w:t>
      </w:r>
    </w:p>
    <w:p w14:paraId="3FC3576A" w14:textId="77777777" w:rsidR="00C12F50" w:rsidRDefault="003F4B80" w:rsidP="001B1B7A">
      <w:pPr>
        <w:pStyle w:val="Heading3"/>
      </w:pPr>
      <w:bookmarkStart w:id="308" w:name="_Toc524517108"/>
      <w:r w:rsidRPr="00D3636A">
        <w:t>850 MHz</w:t>
      </w:r>
      <w:bookmarkEnd w:id="308"/>
    </w:p>
    <w:p w14:paraId="43FD41C4" w14:textId="77777777" w:rsidR="005B397B" w:rsidRDefault="003F4B80" w:rsidP="001B1B7A">
      <w:r w:rsidRPr="00D3636A">
        <w:t>In late 2015, the ACM</w:t>
      </w:r>
      <w:r>
        <w:t>A finalised a review of the 803–</w:t>
      </w:r>
      <w:r w:rsidRPr="00D3636A">
        <w:t xml:space="preserve">960 MHz band, deciding to reallocate the 850 MHz expansion band for spectrum licences configured for wireless broadband. The band is being cleared progressively, and is expected to be fully </w:t>
      </w:r>
      <w:r w:rsidRPr="00D3636A">
        <w:lastRenderedPageBreak/>
        <w:t>cleared by 2024, although a significant portion of the band will be available for use from mid-2021</w:t>
      </w:r>
      <w:r>
        <w:t xml:space="preserve">. </w:t>
      </w:r>
    </w:p>
    <w:p w14:paraId="65D0E83F" w14:textId="77777777" w:rsidR="005B397B" w:rsidRDefault="005B397B" w:rsidP="001B1B7A">
      <w:r>
        <w:t>The long clearance process means that reallocation of 850 MHz expansion band spectrum is not urgent in itself. However</w:t>
      </w:r>
      <w:r w:rsidR="00AF675B">
        <w:t>,</w:t>
      </w:r>
      <w:r>
        <w:t xml:space="preserve"> its value as a complement to, or substitute for</w:t>
      </w:r>
      <w:r w:rsidR="00AF675B">
        <w:t>,</w:t>
      </w:r>
      <w:r>
        <w:t xml:space="preserve"> wireless broadband licences in the 900 MHz band makes it important to align </w:t>
      </w:r>
      <w:r w:rsidR="00AF675B">
        <w:t>850 </w:t>
      </w:r>
      <w:r>
        <w:t xml:space="preserve">MHz reallocation with </w:t>
      </w:r>
      <w:r w:rsidR="00252ACF">
        <w:t xml:space="preserve">any </w:t>
      </w:r>
      <w:r>
        <w:t xml:space="preserve">reallocation of 900 MHz </w:t>
      </w:r>
    </w:p>
    <w:p w14:paraId="1A6AB63F" w14:textId="77777777" w:rsidR="001B76CC" w:rsidRDefault="005B397B" w:rsidP="005B397B">
      <w:r>
        <w:t xml:space="preserve">The addition of a 1 MHz guard band between the 850 MHz band base-transmit segment and the 890–915/935–960 MHz base-receive segment </w:t>
      </w:r>
      <w:r w:rsidR="00252ACF">
        <w:t xml:space="preserve">is necessary to </w:t>
      </w:r>
      <w:r>
        <w:t>optimise the utility of the lower segment in the 890–915/935–960 MHz band</w:t>
      </w:r>
      <w:r w:rsidR="00252ACF">
        <w:t xml:space="preserve"> for wireless broadband</w:t>
      </w:r>
      <w:r>
        <w:t xml:space="preserve">. Prior to expiration of the current spectrum licences in 2028, this can only be achieved via a voluntary (negotiated) downshift of the existing 850 MHz band spectrum licences, which are held by VHA and Telstra. The availability of the </w:t>
      </w:r>
      <w:r w:rsidR="00AF675B">
        <w:t>1 </w:t>
      </w:r>
      <w:r>
        <w:t>MHz of spectrum immediately below the 850 MHz base</w:t>
      </w:r>
      <w:r w:rsidR="00AF675B">
        <w:t>-</w:t>
      </w:r>
      <w:r>
        <w:t xml:space="preserve">transmit segment </w:t>
      </w:r>
      <w:r w:rsidR="00252ACF">
        <w:t xml:space="preserve">to accommodate the downshift </w:t>
      </w:r>
      <w:r>
        <w:t xml:space="preserve">will be critical to </w:t>
      </w:r>
      <w:r w:rsidR="00252ACF">
        <w:t>these negotiations</w:t>
      </w:r>
      <w:r>
        <w:t xml:space="preserve">. </w:t>
      </w:r>
      <w:r w:rsidR="00AF675B">
        <w:t xml:space="preserve">The </w:t>
      </w:r>
      <w:r>
        <w:t xml:space="preserve">ACMA will consider further how this spectrum might best be brought into play </w:t>
      </w:r>
      <w:r w:rsidR="001B76CC">
        <w:t>as it develops optimisation options for the 900 MHz and 850 MHz expansion band.</w:t>
      </w:r>
    </w:p>
    <w:p w14:paraId="0ADE3DF2" w14:textId="77777777" w:rsidR="00B532A0" w:rsidRDefault="003F4B80" w:rsidP="001B1B7A">
      <w:pPr>
        <w:pStyle w:val="Heading3"/>
        <w:rPr>
          <w:rFonts w:eastAsiaTheme="majorEastAsia"/>
        </w:rPr>
      </w:pPr>
      <w:bookmarkStart w:id="309" w:name="_Toc524517109"/>
      <w:r w:rsidRPr="00D3636A">
        <w:t>1.</w:t>
      </w:r>
      <w:r w:rsidRPr="00D3636A">
        <w:rPr>
          <w:rFonts w:eastAsiaTheme="majorEastAsia"/>
        </w:rPr>
        <w:t>5 GHz</w:t>
      </w:r>
      <w:bookmarkEnd w:id="309"/>
    </w:p>
    <w:p w14:paraId="0AFB2317" w14:textId="77777777" w:rsidR="00585FB9" w:rsidDel="001B76CC" w:rsidRDefault="00835E98" w:rsidP="00F97173">
      <w:pPr>
        <w:keepNext/>
        <w:keepLines/>
        <w:rPr>
          <w:rFonts w:eastAsiaTheme="majorEastAsia"/>
        </w:rPr>
      </w:pPr>
      <w:r>
        <w:rPr>
          <w:rFonts w:eastAsiaTheme="majorEastAsia"/>
        </w:rPr>
        <w:t>Potential u</w:t>
      </w:r>
      <w:r w:rsidR="003F4B80" w:rsidRPr="00D3636A">
        <w:rPr>
          <w:rFonts w:eastAsiaTheme="majorEastAsia"/>
        </w:rPr>
        <w:t xml:space="preserve">se of </w:t>
      </w:r>
      <w:r w:rsidR="00585FB9">
        <w:rPr>
          <w:rFonts w:eastAsiaTheme="majorEastAsia"/>
        </w:rPr>
        <w:t xml:space="preserve">the </w:t>
      </w:r>
      <w:r w:rsidR="003F4B80" w:rsidRPr="00D3636A">
        <w:rPr>
          <w:rFonts w:eastAsiaTheme="majorEastAsia"/>
        </w:rPr>
        <w:t xml:space="preserve">band has been </w:t>
      </w:r>
      <w:r w:rsidR="003F4B80" w:rsidRPr="00BB38F9">
        <w:rPr>
          <w:rFonts w:eastAsiaTheme="majorEastAsia"/>
        </w:rPr>
        <w:t xml:space="preserve">identified for </w:t>
      </w:r>
      <w:r w:rsidR="005078A4">
        <w:rPr>
          <w:rFonts w:eastAsiaTheme="majorEastAsia"/>
        </w:rPr>
        <w:t>wireless broadband</w:t>
      </w:r>
      <w:r w:rsidR="003F4B80" w:rsidRPr="00BB38F9">
        <w:rPr>
          <w:rFonts w:eastAsiaTheme="majorEastAsia"/>
        </w:rPr>
        <w:t>. Ongoing work in international</w:t>
      </w:r>
      <w:r w:rsidR="003F4B80" w:rsidRPr="00D3636A">
        <w:rPr>
          <w:rFonts w:eastAsiaTheme="majorEastAsia"/>
        </w:rPr>
        <w:t xml:space="preserve"> spectrum </w:t>
      </w:r>
      <w:r w:rsidR="005078A4" w:rsidRPr="00D3636A">
        <w:rPr>
          <w:rFonts w:eastAsiaTheme="majorEastAsia"/>
        </w:rPr>
        <w:t>harmonisati</w:t>
      </w:r>
      <w:r w:rsidR="005078A4">
        <w:rPr>
          <w:rFonts w:eastAsiaTheme="majorEastAsia"/>
        </w:rPr>
        <w:t>on,</w:t>
      </w:r>
      <w:r w:rsidR="003F4B80" w:rsidRPr="00D3636A" w:rsidDel="005078A4">
        <w:rPr>
          <w:rFonts w:eastAsiaTheme="majorEastAsia"/>
        </w:rPr>
        <w:t xml:space="preserve"> </w:t>
      </w:r>
      <w:r w:rsidR="003F4B80" w:rsidRPr="00D3636A">
        <w:rPr>
          <w:rFonts w:eastAsiaTheme="majorEastAsia"/>
        </w:rPr>
        <w:t>technology standardisation</w:t>
      </w:r>
      <w:r w:rsidR="005078A4">
        <w:rPr>
          <w:rFonts w:eastAsiaTheme="majorEastAsia"/>
        </w:rPr>
        <w:t xml:space="preserve"> and coexistence with other servi</w:t>
      </w:r>
      <w:r w:rsidR="00D65B4A">
        <w:rPr>
          <w:rFonts w:eastAsiaTheme="majorEastAsia"/>
        </w:rPr>
        <w:t>c</w:t>
      </w:r>
      <w:r w:rsidR="005078A4">
        <w:rPr>
          <w:rFonts w:eastAsiaTheme="majorEastAsia"/>
        </w:rPr>
        <w:t>es</w:t>
      </w:r>
      <w:r w:rsidR="003F4B80" w:rsidRPr="00D3636A">
        <w:rPr>
          <w:rFonts w:eastAsiaTheme="majorEastAsia"/>
        </w:rPr>
        <w:t xml:space="preserve"> will clarify the amount of spectrum that could be made available for allocation. </w:t>
      </w:r>
      <w:r w:rsidR="001B76CC">
        <w:rPr>
          <w:rFonts w:eastAsiaTheme="majorEastAsia"/>
        </w:rPr>
        <w:t xml:space="preserve">The ACMA is yet to </w:t>
      </w:r>
      <w:proofErr w:type="gramStart"/>
      <w:r w:rsidR="001B76CC">
        <w:rPr>
          <w:rFonts w:eastAsiaTheme="majorEastAsia"/>
        </w:rPr>
        <w:t>make a decision</w:t>
      </w:r>
      <w:proofErr w:type="gramEnd"/>
      <w:r w:rsidR="001B76CC">
        <w:rPr>
          <w:rFonts w:eastAsiaTheme="majorEastAsia"/>
        </w:rPr>
        <w:t xml:space="preserve"> on </w:t>
      </w:r>
      <w:r w:rsidR="001B76CC" w:rsidRPr="00D3636A">
        <w:rPr>
          <w:rFonts w:eastAsiaTheme="majorEastAsia"/>
        </w:rPr>
        <w:t xml:space="preserve">the timing of the band allocation and the quantum of spectrum </w:t>
      </w:r>
      <w:r w:rsidR="001B76CC">
        <w:rPr>
          <w:rFonts w:eastAsiaTheme="majorEastAsia"/>
        </w:rPr>
        <w:t xml:space="preserve">that should be made </w:t>
      </w:r>
      <w:r w:rsidR="001B76CC" w:rsidRPr="00D3636A">
        <w:rPr>
          <w:rFonts w:eastAsiaTheme="majorEastAsia"/>
        </w:rPr>
        <w:t>available for allocation</w:t>
      </w:r>
      <w:r w:rsidR="001B76CC">
        <w:rPr>
          <w:rFonts w:eastAsiaTheme="majorEastAsia"/>
        </w:rPr>
        <w:t>—</w:t>
      </w:r>
      <w:r w:rsidR="001B76CC" w:rsidRPr="00D3636A">
        <w:rPr>
          <w:rFonts w:eastAsiaTheme="majorEastAsia"/>
        </w:rPr>
        <w:t xml:space="preserve">both elements are influenced by international developments. </w:t>
      </w:r>
    </w:p>
    <w:p w14:paraId="5F7DE958" w14:textId="77777777" w:rsidR="00561BBD" w:rsidRDefault="003F4B80" w:rsidP="005759E7">
      <w:pPr>
        <w:pStyle w:val="Heading2"/>
        <w:rPr>
          <w:rFonts w:eastAsiaTheme="majorEastAsia"/>
        </w:rPr>
      </w:pPr>
      <w:bookmarkStart w:id="310" w:name="_Toc522794099"/>
      <w:bookmarkStart w:id="311" w:name="_Toc524517110"/>
      <w:bookmarkStart w:id="312" w:name="_Toc510104965"/>
      <w:bookmarkStart w:id="313" w:name="_Toc510105762"/>
      <w:bookmarkStart w:id="314" w:name="_Toc510795094"/>
      <w:bookmarkStart w:id="315" w:name="_Toc511716295"/>
      <w:bookmarkStart w:id="316" w:name="_Toc511719106"/>
      <w:r w:rsidRPr="005759E7">
        <w:rPr>
          <w:rFonts w:eastAsiaTheme="majorEastAsia"/>
        </w:rPr>
        <w:t xml:space="preserve">Allocation </w:t>
      </w:r>
      <w:r w:rsidR="00561BBD">
        <w:rPr>
          <w:rFonts w:eastAsiaTheme="majorEastAsia"/>
        </w:rPr>
        <w:t>priorities and sequencing</w:t>
      </w:r>
      <w:bookmarkEnd w:id="310"/>
      <w:bookmarkEnd w:id="311"/>
    </w:p>
    <w:bookmarkEnd w:id="312"/>
    <w:bookmarkEnd w:id="313"/>
    <w:bookmarkEnd w:id="314"/>
    <w:bookmarkEnd w:id="315"/>
    <w:bookmarkEnd w:id="316"/>
    <w:p w14:paraId="7C6DB373" w14:textId="77777777" w:rsidR="00A066FC" w:rsidRDefault="00A066FC" w:rsidP="00947F88">
      <w:r>
        <w:t xml:space="preserve">The ACMA </w:t>
      </w:r>
      <w:r w:rsidR="00561BBD">
        <w:t>consulted on two allocation scenarios</w:t>
      </w:r>
      <w:r>
        <w:t xml:space="preserve"> </w:t>
      </w:r>
      <w:r w:rsidR="00A00203">
        <w:t xml:space="preserve">that </w:t>
      </w:r>
      <w:r>
        <w:t>were intended to reflect different views about spectrum demand, while providing continued flexibility to adjust timing and allocation sequencing in response to new information.</w:t>
      </w:r>
    </w:p>
    <w:p w14:paraId="178A44DB" w14:textId="77777777" w:rsidR="00561BBD" w:rsidRDefault="009A0C7E" w:rsidP="00947F88">
      <w:r>
        <w:t>New information about expressed demand as provided by stakeholders in their feedback on the allocation scenarios, as well as progress on international harmonisation efforts has caused the ACMA to adjust both the timing and sequencing of allocations.</w:t>
      </w:r>
    </w:p>
    <w:p w14:paraId="2E8045A0" w14:textId="77777777" w:rsidR="00561BBD" w:rsidRDefault="00561BBD" w:rsidP="00991CD9">
      <w:pPr>
        <w:spacing w:after="80"/>
      </w:pPr>
      <w:r>
        <w:t xml:space="preserve">Key changes </w:t>
      </w:r>
      <w:r w:rsidR="00A00203">
        <w:t>being</w:t>
      </w:r>
      <w:r>
        <w:t xml:space="preserve"> </w:t>
      </w:r>
      <w:r w:rsidR="00A00203">
        <w:t xml:space="preserve">considered </w:t>
      </w:r>
      <w:r>
        <w:t>that respond to feedback</w:t>
      </w:r>
      <w:r w:rsidR="009A0C7E">
        <w:t xml:space="preserve"> include:</w:t>
      </w:r>
    </w:p>
    <w:p w14:paraId="09FBCA38" w14:textId="77777777" w:rsidR="003B319F" w:rsidRDefault="009A0C7E" w:rsidP="009A0C7E">
      <w:pPr>
        <w:pStyle w:val="ListBullet"/>
      </w:pPr>
      <w:r>
        <w:t>After the conclusion of the 3.6 G</w:t>
      </w:r>
      <w:r w:rsidR="00623C2E">
        <w:t>H</w:t>
      </w:r>
      <w:r>
        <w:t>z auction, optimising spectrum holdings in the 3.4</w:t>
      </w:r>
      <w:r w:rsidR="00A00203">
        <w:t>–</w:t>
      </w:r>
      <w:r>
        <w:t>3.5</w:t>
      </w:r>
      <w:r w:rsidR="009761D7">
        <w:t>75</w:t>
      </w:r>
      <w:r>
        <w:t xml:space="preserve"> GHz bands was identified by a number of submiss</w:t>
      </w:r>
      <w:r w:rsidR="00C57F57">
        <w:t>i</w:t>
      </w:r>
      <w:r>
        <w:t xml:space="preserve">ons as the next most urgent issue to require the ACMA’s attention. </w:t>
      </w:r>
      <w:r w:rsidR="00A533DA">
        <w:t xml:space="preserve">Considerations </w:t>
      </w:r>
      <w:r w:rsidR="00C57F57">
        <w:t xml:space="preserve">include </w:t>
      </w:r>
      <w:r w:rsidR="002C7D06">
        <w:t xml:space="preserve">optimising spectrum configuration </w:t>
      </w:r>
      <w:r w:rsidR="00A533DA">
        <w:t xml:space="preserve">to create more spectrally efficient holdings, freeing up spectrum for an additional allocation as a result of defragmentation, </w:t>
      </w:r>
      <w:r w:rsidR="00C57F57">
        <w:t xml:space="preserve">and </w:t>
      </w:r>
      <w:r w:rsidR="00A533DA">
        <w:t xml:space="preserve">potential </w:t>
      </w:r>
      <w:r w:rsidR="00C57F57">
        <w:t>approaches</w:t>
      </w:r>
      <w:r w:rsidR="00A533DA" w:rsidDel="00C57F57">
        <w:t xml:space="preserve"> </w:t>
      </w:r>
      <w:r w:rsidR="00C57F57">
        <w:t xml:space="preserve">to move </w:t>
      </w:r>
      <w:r w:rsidR="00A533DA">
        <w:t>from apparatus to a fully tradeable spectrum licence</w:t>
      </w:r>
      <w:r w:rsidR="00C57F57">
        <w:t xml:space="preserve">. There is also likely to be </w:t>
      </w:r>
      <w:r w:rsidR="002C7D06">
        <w:t xml:space="preserve">further consideration </w:t>
      </w:r>
      <w:r w:rsidR="00C57F57">
        <w:t xml:space="preserve">of pricing arrangements to </w:t>
      </w:r>
      <w:r w:rsidR="002C7D06">
        <w:t>reflect changes in the characteristics of the spectrum holdings</w:t>
      </w:r>
      <w:r w:rsidR="00C57F57">
        <w:t>. These</w:t>
      </w:r>
      <w:r w:rsidR="002C7D06" w:rsidDel="00C57F57">
        <w:t xml:space="preserve"> </w:t>
      </w:r>
      <w:r w:rsidR="002C7D06">
        <w:t xml:space="preserve">are all likely matters that would be further developed in an issues and options paper for consultation. </w:t>
      </w:r>
    </w:p>
    <w:p w14:paraId="1B897793" w14:textId="77777777" w:rsidR="00E6355E" w:rsidRDefault="00A533DA" w:rsidP="00E6355E">
      <w:pPr>
        <w:pStyle w:val="ListBullet"/>
      </w:pPr>
      <w:r>
        <w:t xml:space="preserve">The pressures to optimise </w:t>
      </w:r>
      <w:r w:rsidR="003B319F">
        <w:t>the configuration of the 900 MHz band</w:t>
      </w:r>
      <w:r>
        <w:t xml:space="preserve"> raise a similar suite of </w:t>
      </w:r>
      <w:r w:rsidR="004959E5" w:rsidRPr="00493B5D">
        <w:t>considerations</w:t>
      </w:r>
      <w:r>
        <w:t>, so there may be merit in the ACMA developing a more coherent optimisation/defragmentation policy to guide considerations across both the 3.4</w:t>
      </w:r>
      <w:r w:rsidR="00A00203">
        <w:t>–</w:t>
      </w:r>
      <w:r>
        <w:t>3.5</w:t>
      </w:r>
      <w:r w:rsidR="00B41517">
        <w:t>75</w:t>
      </w:r>
      <w:r>
        <w:t xml:space="preserve"> GHz and 900 MHz bands.</w:t>
      </w:r>
      <w:r w:rsidR="00E6355E" w:rsidRPr="00E6355E">
        <w:t xml:space="preserve"> </w:t>
      </w:r>
    </w:p>
    <w:p w14:paraId="03BD02D8" w14:textId="77777777" w:rsidR="00DE3004" w:rsidRDefault="00A00203" w:rsidP="00DE3004">
      <w:pPr>
        <w:pStyle w:val="ListBullet"/>
      </w:pPr>
      <w:r>
        <w:t xml:space="preserve">The ACMA </w:t>
      </w:r>
      <w:r w:rsidR="00DE3004">
        <w:t>propose</w:t>
      </w:r>
      <w:r>
        <w:t>s</w:t>
      </w:r>
      <w:r w:rsidR="00DE3004">
        <w:t xml:space="preserve"> to include work on the optimisation and defragmentation issues in the 3.4-3.575 GHz band in the work program, providing an opportunity for consultation on an issues paper after the conclusion of the 3.6 GHz auction. </w:t>
      </w:r>
    </w:p>
    <w:p w14:paraId="0522D40A" w14:textId="77777777" w:rsidR="00E6355E" w:rsidRDefault="00E6355E" w:rsidP="008F7E77">
      <w:pPr>
        <w:pStyle w:val="ListBulletLast"/>
        <w:numPr>
          <w:ilvl w:val="0"/>
          <w:numId w:val="1"/>
        </w:numPr>
      </w:pPr>
      <w:r>
        <w:lastRenderedPageBreak/>
        <w:t xml:space="preserve">On the 900 MHz band, continued engagement from </w:t>
      </w:r>
      <w:r w:rsidRPr="00E53CF1">
        <w:t>the mobile network operators indicates a range of differ</w:t>
      </w:r>
      <w:r w:rsidR="00680125" w:rsidRPr="00E53CF1">
        <w:t>i</w:t>
      </w:r>
      <w:r w:rsidRPr="00E53CF1">
        <w:t>ng approaches to resolving configuration issues in the</w:t>
      </w:r>
      <w:r>
        <w:t xml:space="preserve"> band</w:t>
      </w:r>
      <w:r w:rsidR="004C7E04">
        <w:t xml:space="preserve">. </w:t>
      </w:r>
      <w:r w:rsidR="008161DE">
        <w:t xml:space="preserve">This </w:t>
      </w:r>
      <w:r>
        <w:t>require</w:t>
      </w:r>
      <w:r w:rsidR="008161DE">
        <w:t>s</w:t>
      </w:r>
      <w:r>
        <w:t xml:space="preserve"> resolution before there is any certainty on method of licensing, and the amount of spectrum that can be allocated. For these reasons, the ACMA has pushed back </w:t>
      </w:r>
      <w:r w:rsidR="000270BE">
        <w:t xml:space="preserve">any allocation </w:t>
      </w:r>
      <w:r w:rsidR="00680125">
        <w:t xml:space="preserve">until </w:t>
      </w:r>
      <w:r w:rsidR="00F87691">
        <w:t xml:space="preserve">at least </w:t>
      </w:r>
      <w:r w:rsidR="006B40E4">
        <w:t>2021</w:t>
      </w:r>
      <w:r w:rsidR="00680125">
        <w:t>.</w:t>
      </w:r>
    </w:p>
    <w:p w14:paraId="242D469F" w14:textId="77777777" w:rsidR="00085F83" w:rsidRPr="00960783" w:rsidRDefault="00085F83" w:rsidP="007678D0">
      <w:pPr>
        <w:rPr>
          <w:rStyle w:val="ListBulletChar"/>
        </w:rPr>
      </w:pPr>
      <w:r>
        <w:t>There is optionality on timing</w:t>
      </w:r>
      <w:r w:rsidR="00E36754">
        <w:t>—</w:t>
      </w:r>
      <w:r>
        <w:t>in particular, whether</w:t>
      </w:r>
      <w:r w:rsidR="00D01D55">
        <w:t xml:space="preserve"> the 3.4</w:t>
      </w:r>
      <w:r w:rsidR="00E36754">
        <w:t>–</w:t>
      </w:r>
      <w:r w:rsidR="00D01D55">
        <w:t>3.575 GHz optimisation/defragmentation work</w:t>
      </w:r>
      <w:r>
        <w:t xml:space="preserve"> ideally should proceed ahead of the 26 GHz planning and allocation considerations, or </w:t>
      </w:r>
      <w:r w:rsidR="00710B9D">
        <w:t xml:space="preserve">should be delayed until after 26 GHz processes have been completed. </w:t>
      </w:r>
      <w:r>
        <w:t>The ACMA</w:t>
      </w:r>
      <w:r w:rsidDel="00575C13">
        <w:t xml:space="preserve"> </w:t>
      </w:r>
      <w:r w:rsidR="00575C13">
        <w:t xml:space="preserve">will </w:t>
      </w:r>
      <w:r>
        <w:t>welcome further views on the relative prioritisation of this optimisation work</w:t>
      </w:r>
      <w:r w:rsidR="00575C13">
        <w:t xml:space="preserve"> in response to its consultation paper </w:t>
      </w:r>
      <w:r w:rsidR="00E36754">
        <w:t xml:space="preserve">(for release in </w:t>
      </w:r>
      <w:r w:rsidR="00E36754" w:rsidRPr="00293B01">
        <w:t>Q1 2018–19</w:t>
      </w:r>
      <w:r w:rsidR="00E36754">
        <w:t xml:space="preserve">) </w:t>
      </w:r>
      <w:r w:rsidR="00575C13">
        <w:t>outlining the various planning and configuration options for the 26 GHz band</w:t>
      </w:r>
      <w:r>
        <w:t>.</w:t>
      </w:r>
      <w:r w:rsidR="00E6355E" w:rsidRPr="00E6355E">
        <w:rPr>
          <w:b/>
        </w:rPr>
        <w:t xml:space="preserve"> </w:t>
      </w:r>
      <w:r w:rsidR="00E6355E" w:rsidRPr="00B6601F">
        <w:rPr>
          <w:rStyle w:val="ListBulletChar"/>
        </w:rPr>
        <w:t>Also</w:t>
      </w:r>
      <w:r w:rsidR="00E36754">
        <w:rPr>
          <w:rStyle w:val="ListBulletChar"/>
        </w:rPr>
        <w:t>,</w:t>
      </w:r>
      <w:r w:rsidR="00E6355E" w:rsidRPr="00B6601F">
        <w:rPr>
          <w:rStyle w:val="ListBulletChar"/>
        </w:rPr>
        <w:t xml:space="preserve"> depending on the relative timing of the implementation of the new spectrum legislation and the release of the 26 GHz band to market, the ACMA may be able to offer more flexible licensing options than under the current legislation.</w:t>
      </w:r>
    </w:p>
    <w:p w14:paraId="77FB0412" w14:textId="77777777" w:rsidR="007678D0" w:rsidRDefault="00394164" w:rsidP="007678D0">
      <w:bookmarkStart w:id="317" w:name="_Hlk522103197"/>
      <w:r>
        <w:t xml:space="preserve">The </w:t>
      </w:r>
      <w:r w:rsidR="00A17AAE">
        <w:t xml:space="preserve">at times </w:t>
      </w:r>
      <w:r>
        <w:t xml:space="preserve">complex </w:t>
      </w:r>
      <w:r w:rsidR="00A17AAE">
        <w:t>coexistence environment and the evolving</w:t>
      </w:r>
      <w:r>
        <w:t xml:space="preserve"> international situation, combined with the diverse views expressed in stakeholder submissions, create challenges for the ACMA in identifying the most appropriate way forward </w:t>
      </w:r>
      <w:r w:rsidR="00E36754">
        <w:t>for</w:t>
      </w:r>
      <w:r>
        <w:t xml:space="preserve"> the 26 GHz band. </w:t>
      </w:r>
    </w:p>
    <w:p w14:paraId="73D81D39" w14:textId="77777777" w:rsidR="00960783" w:rsidRPr="00960783" w:rsidRDefault="00394164" w:rsidP="007678D0">
      <w:r>
        <w:t xml:space="preserve">The ACMA expects to release a paper </w:t>
      </w:r>
      <w:r w:rsidR="00E36754">
        <w:t xml:space="preserve">later in 2018 </w:t>
      </w:r>
      <w:r>
        <w:t xml:space="preserve">canvassing options for the introduction of wireless broadband services in the band. </w:t>
      </w:r>
      <w:r w:rsidR="00A17AAE">
        <w:t>After reviewing responses to this paper in the context of evolving international considerations, this</w:t>
      </w:r>
      <w:r>
        <w:t xml:space="preserve"> may </w:t>
      </w:r>
      <w:r w:rsidR="00A17AAE">
        <w:t>ultimately result in</w:t>
      </w:r>
      <w:r w:rsidR="00367DA0">
        <w:t>, for example,</w:t>
      </w:r>
      <w:r w:rsidR="00705D55">
        <w:t xml:space="preserve"> </w:t>
      </w:r>
      <w:r w:rsidR="00367DA0">
        <w:t>allocation of only part of the frequency range, at least initially. However</w:t>
      </w:r>
      <w:r w:rsidR="00E36754">
        <w:t>,</w:t>
      </w:r>
      <w:r w:rsidR="00367DA0">
        <w:t xml:space="preserve"> this would need to be balanced against the risk of increased band fragmentation arising from multiple allocation processes.  </w:t>
      </w:r>
    </w:p>
    <w:bookmarkEnd w:id="317"/>
    <w:p w14:paraId="44E6091F" w14:textId="77777777" w:rsidR="007678D0" w:rsidRDefault="003F4B80" w:rsidP="00455D60">
      <w:r w:rsidRPr="00E53CF1">
        <w:t xml:space="preserve">The </w:t>
      </w:r>
      <w:r w:rsidRPr="00E53CF1">
        <w:rPr>
          <w:i/>
        </w:rPr>
        <w:t>Radiocommunications Act 1992</w:t>
      </w:r>
      <w:r w:rsidRPr="00E53CF1">
        <w:t xml:space="preserve"> establishes</w:t>
      </w:r>
      <w:r w:rsidRPr="009F505F">
        <w:t xml:space="preserve"> a set of mandatory processes for allocatin</w:t>
      </w:r>
      <w:r>
        <w:t>g</w:t>
      </w:r>
      <w:r w:rsidRPr="009F505F">
        <w:t xml:space="preserve"> spectrum. In the ACMA’s experience, this process </w:t>
      </w:r>
      <w:r w:rsidR="00BE4890" w:rsidRPr="009F505F">
        <w:t xml:space="preserve">takes </w:t>
      </w:r>
      <w:r w:rsidR="003304B3">
        <w:t xml:space="preserve">a minimum of </w:t>
      </w:r>
      <w:r w:rsidR="00BE4890" w:rsidRPr="009F505F">
        <w:t>approximately 12.5</w:t>
      </w:r>
      <w:r w:rsidR="00BE4890">
        <w:t> </w:t>
      </w:r>
      <w:r w:rsidR="00BE4890" w:rsidRPr="009F505F">
        <w:t>months</w:t>
      </w:r>
      <w:r w:rsidR="00BE4890">
        <w:t xml:space="preserve"> </w:t>
      </w:r>
      <w:r w:rsidRPr="009F505F">
        <w:t>from confirmation of the planning decision to the commencement of an auction</w:t>
      </w:r>
      <w:r w:rsidR="00B6601F">
        <w:t xml:space="preserve">, if there is no real </w:t>
      </w:r>
      <w:r w:rsidR="00BF76BC">
        <w:t>uncertainty</w:t>
      </w:r>
      <w:r w:rsidR="00B6601F">
        <w:t xml:space="preserve"> about the </w:t>
      </w:r>
      <w:r w:rsidR="00BF76BC">
        <w:t xml:space="preserve">most appropriate </w:t>
      </w:r>
      <w:r w:rsidR="00B6601F">
        <w:t xml:space="preserve">way that the spectrum should be configured for auction. This process will take longer if there is optionality around how the spectrum can be configured because further consultation and engagement with potential bidders will be necessary and important. The process can also be expected to be longer if there is a need to acquire </w:t>
      </w:r>
      <w:r w:rsidR="003304B3">
        <w:t>new auction tools.</w:t>
      </w:r>
      <w:r w:rsidRPr="009F505F">
        <w:t xml:space="preserve"> </w:t>
      </w:r>
    </w:p>
    <w:p w14:paraId="47F8B604" w14:textId="77777777" w:rsidR="003F4B80" w:rsidRDefault="003F4B80" w:rsidP="00455D60">
      <w:r w:rsidRPr="009F505F">
        <w:t>Some of these processes will be streamlined in the new Radiocommunications Bill, which is expected to simplify the decision-making process.</w:t>
      </w:r>
      <w:r>
        <w:t xml:space="preserve"> </w:t>
      </w:r>
      <w:r w:rsidRPr="009F505F">
        <w:t xml:space="preserve">The timing of </w:t>
      </w:r>
      <w:r w:rsidR="003E27C2">
        <w:t xml:space="preserve">one or more future </w:t>
      </w:r>
      <w:r w:rsidRPr="009F505F">
        <w:t xml:space="preserve">allocations may straddle the </w:t>
      </w:r>
      <w:r w:rsidR="0095317E">
        <w:t xml:space="preserve">commencement of </w:t>
      </w:r>
      <w:r w:rsidRPr="009F505F">
        <w:t>the new Radiocommunications Bill.</w:t>
      </w:r>
    </w:p>
    <w:p w14:paraId="2B6B836F" w14:textId="77777777" w:rsidR="0075215F" w:rsidRDefault="0075215F" w:rsidP="00B6601F">
      <w:pPr>
        <w:pStyle w:val="Heading3"/>
      </w:pPr>
      <w:bookmarkStart w:id="318" w:name="_Toc522794100"/>
      <w:bookmarkStart w:id="319" w:name="_Toc524517111"/>
      <w:r>
        <w:t>Timing considerations</w:t>
      </w:r>
      <w:bookmarkEnd w:id="318"/>
      <w:bookmarkEnd w:id="319"/>
    </w:p>
    <w:p w14:paraId="569DF3D8" w14:textId="77777777" w:rsidR="008161DE" w:rsidRDefault="008161DE" w:rsidP="008161DE">
      <w:r>
        <w:t>Rather than present two different allocation scenarios, the feedback on the allocation work program has provided a clearer indication of the bands that should be included for consideration. The optionality that continues to exist is mainly about the timing of potential allocations</w:t>
      </w:r>
      <w:r w:rsidR="00FB14AF">
        <w:t xml:space="preserve">, but </w:t>
      </w:r>
      <w:r w:rsidR="005B4F0F">
        <w:t xml:space="preserve">there </w:t>
      </w:r>
      <w:r w:rsidR="00FB14AF">
        <w:t xml:space="preserve">also </w:t>
      </w:r>
      <w:r w:rsidR="00636724">
        <w:t xml:space="preserve">remains some optionality around </w:t>
      </w:r>
      <w:r w:rsidR="007B792C">
        <w:t>running an allocation, for example, of 850/900 MHz and 26 GHz at the same time.</w:t>
      </w:r>
      <w:r w:rsidR="00636724">
        <w:t xml:space="preserve"> The ACMA notes however</w:t>
      </w:r>
      <w:r w:rsidR="00E36754">
        <w:t>,</w:t>
      </w:r>
      <w:r w:rsidR="00636724">
        <w:t xml:space="preserve"> that there </w:t>
      </w:r>
      <w:r w:rsidR="00937D6F">
        <w:t>are merits and disadvantages to running</w:t>
      </w:r>
      <w:r w:rsidR="007B792C">
        <w:t xml:space="preserve"> such </w:t>
      </w:r>
      <w:r w:rsidR="005B4F0F">
        <w:t>a</w:t>
      </w:r>
      <w:r w:rsidR="00937D6F">
        <w:t>llocation</w:t>
      </w:r>
      <w:r w:rsidR="005B4F0F">
        <w:t xml:space="preserve"> processes</w:t>
      </w:r>
      <w:r w:rsidR="00937D6F">
        <w:t>. W</w:t>
      </w:r>
      <w:r w:rsidR="005B4F0F">
        <w:t xml:space="preserve">hile there may be timing, administrative </w:t>
      </w:r>
      <w:r w:rsidR="00806B2F">
        <w:t xml:space="preserve">and potentially efficiency benefits of </w:t>
      </w:r>
      <w:r w:rsidR="007B792C">
        <w:t>running an allocation of multiple bands at the same</w:t>
      </w:r>
      <w:r w:rsidR="00E36754">
        <w:t>,</w:t>
      </w:r>
      <w:r w:rsidR="007B792C">
        <w:t xml:space="preserve"> </w:t>
      </w:r>
      <w:r w:rsidR="00806B2F">
        <w:t xml:space="preserve">there is also </w:t>
      </w:r>
      <w:r w:rsidR="00937D6F">
        <w:t xml:space="preserve">an </w:t>
      </w:r>
      <w:r w:rsidR="00806B2F">
        <w:t>additional burden on</w:t>
      </w:r>
      <w:r w:rsidR="00937D6F">
        <w:t xml:space="preserve"> auction participants</w:t>
      </w:r>
      <w:r w:rsidR="00806B2F" w:rsidDel="00937D6F">
        <w:t xml:space="preserve"> </w:t>
      </w:r>
      <w:r w:rsidR="00806B2F">
        <w:t>associated with capital funding</w:t>
      </w:r>
      <w:r w:rsidR="00FF2943">
        <w:t>, as well as potential auction complexity considerations</w:t>
      </w:r>
      <w:r w:rsidR="00806B2F">
        <w:t>.</w:t>
      </w:r>
    </w:p>
    <w:p w14:paraId="04A079FE" w14:textId="77777777" w:rsidR="003F4B80" w:rsidRDefault="003F4B80" w:rsidP="00CA45D7">
      <w:r>
        <w:t xml:space="preserve">The identification of particular </w:t>
      </w:r>
      <w:r w:rsidR="00ED5406">
        <w:t>time</w:t>
      </w:r>
      <w:r w:rsidR="00E36754">
        <w:t xml:space="preserve"> </w:t>
      </w:r>
      <w:r w:rsidR="00ED5406">
        <w:t xml:space="preserve">frames </w:t>
      </w:r>
      <w:r>
        <w:t xml:space="preserve">is also informed by consideration of arrangements in adjacent bands if they are currently subject to spectrum licensing. </w:t>
      </w:r>
      <w:r w:rsidR="008161DE">
        <w:lastRenderedPageBreak/>
        <w:t>T</w:t>
      </w:r>
      <w:r>
        <w:t xml:space="preserve">his is a relevant </w:t>
      </w:r>
      <w:r w:rsidR="001E530C">
        <w:t xml:space="preserve">timing </w:t>
      </w:r>
      <w:r>
        <w:t>consideration where there is an intention to align the expiry date of licences in the new band with the expiry date of existing adjacent spectrum licences</w:t>
      </w:r>
      <w:r w:rsidR="00ED5406">
        <w:t>,</w:t>
      </w:r>
      <w:r>
        <w:t xml:space="preserve"> in order to facilitate longer</w:t>
      </w:r>
      <w:r w:rsidR="00ED5406">
        <w:t>-</w:t>
      </w:r>
      <w:r>
        <w:t>term trading or potential change</w:t>
      </w:r>
      <w:r w:rsidR="00ED5406">
        <w:t>s</w:t>
      </w:r>
      <w:r>
        <w:t xml:space="preserve"> to planning arrangements at licence expiry. </w:t>
      </w:r>
      <w:r w:rsidR="003D39CF">
        <w:t>Where this is the case, t</w:t>
      </w:r>
      <w:r>
        <w:t xml:space="preserve">he identification of relevant timings </w:t>
      </w:r>
      <w:r w:rsidR="003D39CF">
        <w:t>is</w:t>
      </w:r>
      <w:r>
        <w:t xml:space="preserve"> also informed by </w:t>
      </w:r>
      <w:r w:rsidR="003D39CF">
        <w:t>how late an</w:t>
      </w:r>
      <w:r>
        <w:t xml:space="preserve"> auction </w:t>
      </w:r>
      <w:r w:rsidR="00B84DB2">
        <w:t xml:space="preserve">could </w:t>
      </w:r>
      <w:r w:rsidR="008161DE">
        <w:t xml:space="preserve">occur </w:t>
      </w:r>
      <w:r w:rsidR="003D39CF">
        <w:t>before the term of the resulting licences would be unreasonably short</w:t>
      </w:r>
      <w:r>
        <w:t>.</w:t>
      </w:r>
    </w:p>
    <w:p w14:paraId="1B74B48E" w14:textId="77777777" w:rsidR="001C0D0E" w:rsidRDefault="001E530C" w:rsidP="00040782">
      <w:r>
        <w:t>W</w:t>
      </w:r>
      <w:r w:rsidR="008161DE">
        <w:t xml:space="preserve">e have opted </w:t>
      </w:r>
      <w:r>
        <w:t xml:space="preserve">to present </w:t>
      </w:r>
      <w:r w:rsidR="008161DE">
        <w:t xml:space="preserve">ranges of time to better reflect the contingent nature of </w:t>
      </w:r>
      <w:r>
        <w:t xml:space="preserve">decisions on </w:t>
      </w:r>
      <w:r w:rsidR="008161DE">
        <w:t xml:space="preserve">planning frameworks and relevant frequency assignments that </w:t>
      </w:r>
      <w:r>
        <w:t>are informed by progress in international harmonisation activity</w:t>
      </w:r>
      <w:r w:rsidR="000A52BA">
        <w:t xml:space="preserve">. This also accommodates </w:t>
      </w:r>
      <w:r>
        <w:t xml:space="preserve">future changes in domestic market demand for particular bands of spectrum </w:t>
      </w:r>
      <w:r w:rsidR="000A52BA">
        <w:t xml:space="preserve">in response to </w:t>
      </w:r>
      <w:r w:rsidR="00EC2F66">
        <w:t xml:space="preserve">future </w:t>
      </w:r>
      <w:r>
        <w:t>auction outcomes.</w:t>
      </w:r>
    </w:p>
    <w:p w14:paraId="673F76A9" w14:textId="77777777" w:rsidR="003F4B80" w:rsidRDefault="00EC2F66" w:rsidP="006B40E4">
      <w:pPr>
        <w:pStyle w:val="ACMATableHeader"/>
      </w:pPr>
      <w:r>
        <w:t xml:space="preserve">Potential timing of </w:t>
      </w:r>
      <w:r w:rsidR="004959E5" w:rsidRPr="00493B5D">
        <w:t>allocations</w:t>
      </w:r>
    </w:p>
    <w:tbl>
      <w:tblPr>
        <w:tblStyle w:val="TableGrid"/>
        <w:tblW w:w="0" w:type="auto"/>
        <w:tblCellMar>
          <w:top w:w="57" w:type="dxa"/>
          <w:left w:w="57" w:type="dxa"/>
          <w:bottom w:w="57" w:type="dxa"/>
          <w:right w:w="57" w:type="dxa"/>
        </w:tblCellMar>
        <w:tblLook w:val="04A0" w:firstRow="1" w:lastRow="0" w:firstColumn="1" w:lastColumn="0" w:noHBand="0" w:noVBand="1"/>
        <w:tblCaption w:val="Scenario 2—3.6 GHz prioritised, with mmWave next"/>
        <w:tblDescription w:val="Shows planning decision and auction timeframes."/>
      </w:tblPr>
      <w:tblGrid>
        <w:gridCol w:w="1271"/>
        <w:gridCol w:w="1275"/>
        <w:gridCol w:w="1276"/>
        <w:gridCol w:w="1276"/>
        <w:gridCol w:w="2563"/>
      </w:tblGrid>
      <w:tr w:rsidR="003F4B80" w14:paraId="54C5905E" w14:textId="77777777" w:rsidTr="0001077C">
        <w:trPr>
          <w:tblHeader/>
        </w:trPr>
        <w:tc>
          <w:tcPr>
            <w:tcW w:w="1271" w:type="dxa"/>
            <w:shd w:val="clear" w:color="auto" w:fill="404040" w:themeFill="text1" w:themeFillTint="BF"/>
          </w:tcPr>
          <w:p w14:paraId="08B831C0" w14:textId="77777777" w:rsidR="0001077C" w:rsidRPr="0001077C" w:rsidRDefault="00575163" w:rsidP="00B747E1">
            <w:pPr>
              <w:pStyle w:val="TableHeading"/>
            </w:pPr>
            <w:bookmarkStart w:id="320" w:name="_Hlk522785298"/>
            <w:r>
              <w:t>Band</w:t>
            </w:r>
          </w:p>
          <w:p w14:paraId="1D594BFF" w14:textId="77777777" w:rsidR="003F4B80" w:rsidRPr="0001077C" w:rsidRDefault="003F4B80" w:rsidP="0001077C">
            <w:pPr>
              <w:tabs>
                <w:tab w:val="left" w:pos="538"/>
              </w:tabs>
              <w:rPr>
                <w:color w:val="FFFFFF" w:themeColor="background1"/>
              </w:rPr>
            </w:pPr>
          </w:p>
        </w:tc>
        <w:tc>
          <w:tcPr>
            <w:tcW w:w="1275" w:type="dxa"/>
            <w:shd w:val="clear" w:color="auto" w:fill="404040" w:themeFill="text1" w:themeFillTint="BF"/>
          </w:tcPr>
          <w:p w14:paraId="05C546CA" w14:textId="77777777" w:rsidR="003F4B80" w:rsidRPr="00445F0B" w:rsidRDefault="003F4B80" w:rsidP="00B747E1">
            <w:pPr>
              <w:pStyle w:val="TableHeading"/>
            </w:pPr>
            <w:r w:rsidRPr="00445F0B">
              <w:t>ACMA planning decision</w:t>
            </w:r>
          </w:p>
        </w:tc>
        <w:tc>
          <w:tcPr>
            <w:tcW w:w="1276" w:type="dxa"/>
            <w:shd w:val="clear" w:color="auto" w:fill="404040" w:themeFill="text1" w:themeFillTint="BF"/>
          </w:tcPr>
          <w:p w14:paraId="7C395BFE" w14:textId="77777777" w:rsidR="003F4B80" w:rsidRPr="00445F0B" w:rsidRDefault="003F4B80" w:rsidP="00B747E1">
            <w:pPr>
              <w:pStyle w:val="TableHeading"/>
            </w:pPr>
            <w:r w:rsidRPr="00445F0B">
              <w:t>Min</w:t>
            </w:r>
            <w:r w:rsidR="00715BB9" w:rsidRPr="00445F0B">
              <w:t>ister</w:t>
            </w:r>
            <w:r w:rsidRPr="00445F0B">
              <w:t xml:space="preserve"> decision</w:t>
            </w:r>
            <w:r w:rsidR="00715BB9" w:rsidRPr="00445F0B">
              <w:t xml:space="preserve"> where applicable</w:t>
            </w:r>
          </w:p>
        </w:tc>
        <w:tc>
          <w:tcPr>
            <w:tcW w:w="1276" w:type="dxa"/>
            <w:shd w:val="clear" w:color="auto" w:fill="404040" w:themeFill="text1" w:themeFillTint="BF"/>
          </w:tcPr>
          <w:p w14:paraId="3F8B0A59" w14:textId="77777777" w:rsidR="003F4B80" w:rsidRPr="00445F0B" w:rsidRDefault="003F4B80" w:rsidP="00B747E1">
            <w:pPr>
              <w:pStyle w:val="TableHeading"/>
            </w:pPr>
            <w:r w:rsidRPr="00445F0B">
              <w:t>Auction</w:t>
            </w:r>
          </w:p>
        </w:tc>
        <w:tc>
          <w:tcPr>
            <w:tcW w:w="2563" w:type="dxa"/>
            <w:shd w:val="clear" w:color="auto" w:fill="404040" w:themeFill="text1" w:themeFillTint="BF"/>
          </w:tcPr>
          <w:p w14:paraId="5418C189" w14:textId="77777777" w:rsidR="003F4B80" w:rsidRPr="00445F0B" w:rsidRDefault="003F4B80" w:rsidP="00B747E1">
            <w:pPr>
              <w:pStyle w:val="TableHeading"/>
            </w:pPr>
            <w:r w:rsidRPr="00445F0B">
              <w:t>Notes</w:t>
            </w:r>
          </w:p>
        </w:tc>
      </w:tr>
      <w:tr w:rsidR="001B420E" w14:paraId="733D1596" w14:textId="77777777" w:rsidTr="0001077C">
        <w:tc>
          <w:tcPr>
            <w:tcW w:w="1271" w:type="dxa"/>
            <w:shd w:val="clear" w:color="auto" w:fill="auto"/>
          </w:tcPr>
          <w:p w14:paraId="3A4039B2" w14:textId="77777777" w:rsidR="001B420E" w:rsidRDefault="001B420E" w:rsidP="00290235">
            <w:pPr>
              <w:spacing w:after="0"/>
              <w:rPr>
                <w:b/>
              </w:rPr>
            </w:pPr>
            <w:r>
              <w:rPr>
                <w:b/>
              </w:rPr>
              <w:t>3.6 GHz band</w:t>
            </w:r>
          </w:p>
        </w:tc>
        <w:tc>
          <w:tcPr>
            <w:tcW w:w="1275" w:type="dxa"/>
            <w:shd w:val="clear" w:color="auto" w:fill="auto"/>
          </w:tcPr>
          <w:p w14:paraId="4CF22972" w14:textId="77777777" w:rsidR="001B420E" w:rsidRDefault="001B420E" w:rsidP="00290235">
            <w:pPr>
              <w:spacing w:after="0"/>
            </w:pPr>
            <w:r>
              <w:t xml:space="preserve">Q2 </w:t>
            </w:r>
            <w:r w:rsidR="0001077C">
              <w:br/>
            </w:r>
            <w:r>
              <w:t>2017</w:t>
            </w:r>
            <w:r w:rsidR="00B84DB2">
              <w:t>–</w:t>
            </w:r>
            <w:r>
              <w:t>18</w:t>
            </w:r>
          </w:p>
        </w:tc>
        <w:tc>
          <w:tcPr>
            <w:tcW w:w="1276" w:type="dxa"/>
            <w:shd w:val="clear" w:color="auto" w:fill="auto"/>
          </w:tcPr>
          <w:p w14:paraId="012CD4B5" w14:textId="77777777" w:rsidR="001B420E" w:rsidRDefault="001B420E" w:rsidP="00290235">
            <w:pPr>
              <w:spacing w:after="0"/>
            </w:pPr>
            <w:r>
              <w:t xml:space="preserve">Q3 </w:t>
            </w:r>
            <w:r w:rsidR="0001077C">
              <w:br/>
            </w:r>
            <w:r>
              <w:t>2017</w:t>
            </w:r>
            <w:r w:rsidR="00B84DB2">
              <w:t>–</w:t>
            </w:r>
            <w:r>
              <w:t>18</w:t>
            </w:r>
          </w:p>
        </w:tc>
        <w:tc>
          <w:tcPr>
            <w:tcW w:w="1276" w:type="dxa"/>
            <w:shd w:val="clear" w:color="auto" w:fill="auto"/>
          </w:tcPr>
          <w:p w14:paraId="2FE8D283" w14:textId="77777777" w:rsidR="001B420E" w:rsidRDefault="001B420E" w:rsidP="00290235">
            <w:pPr>
              <w:spacing w:after="0"/>
            </w:pPr>
            <w:r>
              <w:t xml:space="preserve">Q2 </w:t>
            </w:r>
            <w:r w:rsidR="0001077C">
              <w:br/>
            </w:r>
            <w:r>
              <w:t>2018</w:t>
            </w:r>
            <w:r w:rsidR="00B84DB2">
              <w:t>–</w:t>
            </w:r>
            <w:r>
              <w:t>19</w:t>
            </w:r>
          </w:p>
        </w:tc>
        <w:tc>
          <w:tcPr>
            <w:tcW w:w="2563" w:type="dxa"/>
            <w:shd w:val="clear" w:color="auto" w:fill="auto"/>
          </w:tcPr>
          <w:p w14:paraId="11E0AC42" w14:textId="77777777" w:rsidR="001B420E" w:rsidRPr="005759E7" w:rsidRDefault="001B420E" w:rsidP="00290235">
            <w:pPr>
              <w:spacing w:after="0"/>
            </w:pPr>
            <w:r>
              <w:t xml:space="preserve">Applications for this auction opened on </w:t>
            </w:r>
            <w:r w:rsidR="00B84DB2">
              <w:t>6 </w:t>
            </w:r>
            <w:r>
              <w:t>August 2018. The auction is expected to commence in late November 2018</w:t>
            </w:r>
          </w:p>
        </w:tc>
      </w:tr>
      <w:tr w:rsidR="00283D92" w14:paraId="3229A9D0" w14:textId="77777777" w:rsidTr="0001077C">
        <w:tc>
          <w:tcPr>
            <w:tcW w:w="1271" w:type="dxa"/>
            <w:shd w:val="clear" w:color="auto" w:fill="F2F2F2" w:themeFill="background1" w:themeFillShade="F2"/>
          </w:tcPr>
          <w:p w14:paraId="09720721" w14:textId="77777777" w:rsidR="00283D92" w:rsidRPr="000F12F1" w:rsidRDefault="00283D92">
            <w:pPr>
              <w:spacing w:after="0"/>
              <w:rPr>
                <w:b/>
              </w:rPr>
            </w:pPr>
            <w:r w:rsidRPr="000F12F1">
              <w:rPr>
                <w:b/>
              </w:rPr>
              <w:t>26 GHz</w:t>
            </w:r>
          </w:p>
        </w:tc>
        <w:tc>
          <w:tcPr>
            <w:tcW w:w="1275" w:type="dxa"/>
            <w:shd w:val="clear" w:color="auto" w:fill="F2F2F2" w:themeFill="background1" w:themeFillShade="F2"/>
          </w:tcPr>
          <w:p w14:paraId="768840F2" w14:textId="77777777" w:rsidR="00283D92" w:rsidRPr="00780282" w:rsidRDefault="00290235" w:rsidP="00835E98">
            <w:pPr>
              <w:spacing w:after="0"/>
              <w:rPr>
                <w:highlight w:val="cyan"/>
              </w:rPr>
            </w:pPr>
            <w:r w:rsidRPr="00283D92">
              <w:t>Q</w:t>
            </w:r>
            <w:r>
              <w:t>3</w:t>
            </w:r>
            <w:r w:rsidR="00EC2F66">
              <w:t>–</w:t>
            </w:r>
            <w:r>
              <w:t xml:space="preserve">4 </w:t>
            </w:r>
            <w:r w:rsidR="0001077C">
              <w:br/>
            </w:r>
            <w:r w:rsidR="00283D92" w:rsidRPr="00283D92">
              <w:t>2018–19</w:t>
            </w:r>
          </w:p>
        </w:tc>
        <w:tc>
          <w:tcPr>
            <w:tcW w:w="1276" w:type="dxa"/>
            <w:shd w:val="clear" w:color="auto" w:fill="F2F2F2" w:themeFill="background1" w:themeFillShade="F2"/>
          </w:tcPr>
          <w:p w14:paraId="64307A73" w14:textId="77777777" w:rsidR="00283D92" w:rsidRPr="00780282" w:rsidRDefault="00290235" w:rsidP="000A52BA">
            <w:pPr>
              <w:spacing w:after="0"/>
              <w:rPr>
                <w:highlight w:val="cyan"/>
              </w:rPr>
            </w:pPr>
            <w:r w:rsidRPr="00283D92">
              <w:t>Q</w:t>
            </w:r>
            <w:r>
              <w:t>1</w:t>
            </w:r>
            <w:r w:rsidRPr="00283D92">
              <w:t xml:space="preserve"> </w:t>
            </w:r>
            <w:r w:rsidR="0001077C">
              <w:br/>
            </w:r>
            <w:r w:rsidRPr="00283D92">
              <w:t>201</w:t>
            </w:r>
            <w:r>
              <w:t>9</w:t>
            </w:r>
            <w:r w:rsidR="009D0090">
              <w:t>–</w:t>
            </w:r>
            <w:r>
              <w:t>20</w:t>
            </w:r>
            <w:r w:rsidRPr="00283D92">
              <w:t xml:space="preserve"> </w:t>
            </w:r>
          </w:p>
        </w:tc>
        <w:tc>
          <w:tcPr>
            <w:tcW w:w="1276" w:type="dxa"/>
            <w:shd w:val="clear" w:color="auto" w:fill="F2F2F2" w:themeFill="background1" w:themeFillShade="F2"/>
          </w:tcPr>
          <w:p w14:paraId="32D67568" w14:textId="77777777" w:rsidR="00283D92" w:rsidRDefault="000A52BA" w:rsidP="000A52BA">
            <w:pPr>
              <w:spacing w:after="0"/>
            </w:pPr>
            <w:r w:rsidDel="00290235">
              <w:t>Q1</w:t>
            </w:r>
            <w:r w:rsidR="00B84DB2">
              <w:t>–</w:t>
            </w:r>
            <w:r w:rsidR="00290235">
              <w:t>2</w:t>
            </w:r>
            <w:r w:rsidR="00666C3A">
              <w:t xml:space="preserve"> </w:t>
            </w:r>
            <w:r w:rsidR="0001077C">
              <w:br/>
            </w:r>
            <w:r>
              <w:t>2020</w:t>
            </w:r>
            <w:r w:rsidR="00B84DB2">
              <w:t>–</w:t>
            </w:r>
            <w:r>
              <w:t>21</w:t>
            </w:r>
          </w:p>
        </w:tc>
        <w:tc>
          <w:tcPr>
            <w:tcW w:w="2563" w:type="dxa"/>
            <w:shd w:val="clear" w:color="auto" w:fill="F2F2F2" w:themeFill="background1" w:themeFillShade="F2"/>
          </w:tcPr>
          <w:p w14:paraId="6862D246" w14:textId="77777777" w:rsidR="00283D92" w:rsidRPr="005759E7" w:rsidRDefault="00283D92" w:rsidP="00283D92">
            <w:pPr>
              <w:spacing w:after="0"/>
            </w:pPr>
            <w:r w:rsidRPr="005759E7">
              <w:t>May be allocated under new Act</w:t>
            </w:r>
          </w:p>
        </w:tc>
      </w:tr>
      <w:tr w:rsidR="00283D92" w14:paraId="79054976" w14:textId="77777777" w:rsidTr="0001077C">
        <w:tc>
          <w:tcPr>
            <w:tcW w:w="1271" w:type="dxa"/>
            <w:shd w:val="clear" w:color="auto" w:fill="auto"/>
          </w:tcPr>
          <w:p w14:paraId="03645700" w14:textId="77777777" w:rsidR="00283D92" w:rsidRPr="000F12F1" w:rsidRDefault="00283D92" w:rsidP="00283D92">
            <w:pPr>
              <w:spacing w:after="0"/>
              <w:rPr>
                <w:b/>
              </w:rPr>
            </w:pPr>
            <w:r w:rsidRPr="000F12F1">
              <w:rPr>
                <w:b/>
              </w:rPr>
              <w:t>850/900 MHz</w:t>
            </w:r>
          </w:p>
        </w:tc>
        <w:tc>
          <w:tcPr>
            <w:tcW w:w="1275" w:type="dxa"/>
            <w:shd w:val="clear" w:color="auto" w:fill="auto"/>
          </w:tcPr>
          <w:p w14:paraId="3B6A4496" w14:textId="77777777" w:rsidR="00283D92" w:rsidRDefault="00283D92" w:rsidP="00283D92">
            <w:pPr>
              <w:spacing w:after="0"/>
            </w:pPr>
            <w:r>
              <w:t xml:space="preserve">Q2 </w:t>
            </w:r>
            <w:r w:rsidR="0001077C">
              <w:br/>
            </w:r>
            <w:r>
              <w:t>2018–19</w:t>
            </w:r>
            <w:r w:rsidR="008D65A3">
              <w:t>*</w:t>
            </w:r>
          </w:p>
        </w:tc>
        <w:tc>
          <w:tcPr>
            <w:tcW w:w="1276" w:type="dxa"/>
            <w:shd w:val="clear" w:color="auto" w:fill="auto"/>
          </w:tcPr>
          <w:p w14:paraId="5D7752AA" w14:textId="77777777" w:rsidR="00673277" w:rsidRDefault="00673277" w:rsidP="008239E7">
            <w:pPr>
              <w:spacing w:after="0"/>
            </w:pPr>
            <w:r>
              <w:t>Q1-2</w:t>
            </w:r>
          </w:p>
          <w:p w14:paraId="76D6010F" w14:textId="45AB32BA" w:rsidR="00283D92" w:rsidRDefault="00673277" w:rsidP="008239E7">
            <w:pPr>
              <w:spacing w:after="0"/>
            </w:pPr>
            <w:r>
              <w:t>2019-20</w:t>
            </w:r>
          </w:p>
        </w:tc>
        <w:tc>
          <w:tcPr>
            <w:tcW w:w="1276" w:type="dxa"/>
            <w:shd w:val="clear" w:color="auto" w:fill="auto"/>
          </w:tcPr>
          <w:p w14:paraId="0AF3A319" w14:textId="77777777" w:rsidR="00283D92" w:rsidRDefault="000A52BA" w:rsidP="008239E7">
            <w:pPr>
              <w:spacing w:after="0"/>
            </w:pPr>
            <w:r>
              <w:t>Q</w:t>
            </w:r>
            <w:r w:rsidR="001C0D0E">
              <w:t>1</w:t>
            </w:r>
            <w:r w:rsidR="00B84DB2">
              <w:t>–</w:t>
            </w:r>
            <w:r w:rsidR="001C0D0E">
              <w:t xml:space="preserve">2 </w:t>
            </w:r>
            <w:r w:rsidR="0001077C">
              <w:br/>
            </w:r>
            <w:r w:rsidR="007B792C">
              <w:t>2020</w:t>
            </w:r>
            <w:r w:rsidR="00B84DB2">
              <w:t>–</w:t>
            </w:r>
            <w:r w:rsidR="007B792C">
              <w:t>21</w:t>
            </w:r>
          </w:p>
        </w:tc>
        <w:tc>
          <w:tcPr>
            <w:tcW w:w="2563" w:type="dxa"/>
            <w:shd w:val="clear" w:color="auto" w:fill="auto"/>
          </w:tcPr>
          <w:p w14:paraId="3FC4B94B" w14:textId="77777777" w:rsidR="00283D92" w:rsidRPr="00455D60" w:rsidRDefault="00283D92" w:rsidP="00283D92">
            <w:pPr>
              <w:spacing w:after="0"/>
            </w:pPr>
            <w:r w:rsidRPr="005759E7">
              <w:t>May be allocated under new Act</w:t>
            </w:r>
          </w:p>
        </w:tc>
      </w:tr>
      <w:tr w:rsidR="00B30DBE" w14:paraId="0D61E85C" w14:textId="77777777" w:rsidTr="0001077C">
        <w:tc>
          <w:tcPr>
            <w:tcW w:w="1271" w:type="dxa"/>
            <w:shd w:val="clear" w:color="auto" w:fill="F2F2F2" w:themeFill="background1" w:themeFillShade="F2"/>
          </w:tcPr>
          <w:p w14:paraId="5AE01E30" w14:textId="77777777" w:rsidR="00B30DBE" w:rsidRPr="001B420E" w:rsidRDefault="00B30DBE" w:rsidP="00B30DBE">
            <w:pPr>
              <w:spacing w:after="0"/>
              <w:rPr>
                <w:b/>
              </w:rPr>
            </w:pPr>
            <w:r w:rsidRPr="001B420E" w:rsidDel="00D205F9">
              <w:rPr>
                <w:b/>
              </w:rPr>
              <w:t>1.5 GHz</w:t>
            </w:r>
          </w:p>
        </w:tc>
        <w:tc>
          <w:tcPr>
            <w:tcW w:w="1275" w:type="dxa"/>
            <w:shd w:val="clear" w:color="auto" w:fill="F2F2F2" w:themeFill="background1" w:themeFillShade="F2"/>
          </w:tcPr>
          <w:p w14:paraId="62F30E0C" w14:textId="7845ECAC" w:rsidR="00B30DBE" w:rsidRPr="001B420E" w:rsidRDefault="00B30DBE" w:rsidP="00B30DBE">
            <w:pPr>
              <w:spacing w:after="0"/>
            </w:pPr>
            <w:r w:rsidRPr="001B420E">
              <w:t>Q</w:t>
            </w:r>
            <w:r>
              <w:t>2</w:t>
            </w:r>
            <w:r w:rsidR="002E32BA">
              <w:t>–</w:t>
            </w:r>
            <w:r>
              <w:t>3</w:t>
            </w:r>
            <w:r w:rsidRPr="001B420E">
              <w:t xml:space="preserve"> </w:t>
            </w:r>
            <w:r w:rsidR="0001077C">
              <w:br/>
            </w:r>
            <w:r w:rsidRPr="001B420E">
              <w:t>2019–</w:t>
            </w:r>
            <w:r w:rsidRPr="001B420E" w:rsidDel="00D205F9">
              <w:t>20</w:t>
            </w:r>
          </w:p>
        </w:tc>
        <w:tc>
          <w:tcPr>
            <w:tcW w:w="1276" w:type="dxa"/>
            <w:shd w:val="clear" w:color="auto" w:fill="F2F2F2" w:themeFill="background1" w:themeFillShade="F2"/>
          </w:tcPr>
          <w:p w14:paraId="216ED0CE" w14:textId="5D027D67" w:rsidR="00B30DBE" w:rsidRPr="001B420E" w:rsidRDefault="00B30DBE" w:rsidP="00B30DBE">
            <w:pPr>
              <w:spacing w:after="0"/>
            </w:pPr>
            <w:r w:rsidRPr="001B420E">
              <w:t>Q</w:t>
            </w:r>
            <w:r>
              <w:t>3</w:t>
            </w:r>
            <w:r w:rsidR="002E32BA">
              <w:t>–</w:t>
            </w:r>
            <w:r>
              <w:t>4</w:t>
            </w:r>
            <w:r w:rsidRPr="001B420E">
              <w:t xml:space="preserve"> </w:t>
            </w:r>
            <w:r w:rsidR="0001077C">
              <w:br/>
            </w:r>
            <w:r w:rsidRPr="001B420E">
              <w:t>2019–</w:t>
            </w:r>
            <w:r w:rsidRPr="001B420E" w:rsidDel="00D205F9">
              <w:t>20</w:t>
            </w:r>
          </w:p>
        </w:tc>
        <w:tc>
          <w:tcPr>
            <w:tcW w:w="1276" w:type="dxa"/>
            <w:shd w:val="clear" w:color="auto" w:fill="F2F2F2" w:themeFill="background1" w:themeFillShade="F2"/>
          </w:tcPr>
          <w:p w14:paraId="334D3EA3" w14:textId="49E5E353" w:rsidR="00B30DBE" w:rsidRPr="001B420E" w:rsidRDefault="00B30DBE" w:rsidP="00B30DBE">
            <w:pPr>
              <w:spacing w:after="0"/>
            </w:pPr>
            <w:r w:rsidRPr="001B420E" w:rsidDel="00D205F9">
              <w:t>Q</w:t>
            </w:r>
            <w:r w:rsidDel="00D205F9">
              <w:t>3</w:t>
            </w:r>
            <w:r w:rsidR="002E32BA">
              <w:t>–</w:t>
            </w:r>
            <w:r w:rsidRPr="001B420E" w:rsidDel="00D205F9">
              <w:t xml:space="preserve">4 </w:t>
            </w:r>
            <w:r w:rsidR="0001077C">
              <w:br/>
            </w:r>
            <w:r w:rsidRPr="001B420E" w:rsidDel="00D205F9">
              <w:t>2020–21</w:t>
            </w:r>
          </w:p>
        </w:tc>
        <w:tc>
          <w:tcPr>
            <w:tcW w:w="2563" w:type="dxa"/>
            <w:shd w:val="clear" w:color="auto" w:fill="F2F2F2" w:themeFill="background1" w:themeFillShade="F2"/>
          </w:tcPr>
          <w:p w14:paraId="3568B7DA" w14:textId="77777777" w:rsidR="00B30DBE" w:rsidRPr="001B420E" w:rsidRDefault="00B30DBE" w:rsidP="00B30DBE">
            <w:pPr>
              <w:spacing w:after="0"/>
            </w:pPr>
            <w:r w:rsidRPr="001B420E" w:rsidDel="00D205F9">
              <w:t>May be allocated under new Act</w:t>
            </w:r>
            <w:r w:rsidDel="00D205F9">
              <w:rPr>
                <w:strike/>
              </w:rPr>
              <w:t xml:space="preserve"> </w:t>
            </w:r>
          </w:p>
        </w:tc>
      </w:tr>
    </w:tbl>
    <w:p w14:paraId="001BD3D0" w14:textId="77777777" w:rsidR="0020408F" w:rsidRDefault="007B792C" w:rsidP="00A92E12">
      <w:pPr>
        <w:pStyle w:val="ACMANotes"/>
        <w:rPr>
          <w:rStyle w:val="CaptionChar"/>
          <w:b w:val="0"/>
          <w:sz w:val="18"/>
          <w:szCs w:val="18"/>
        </w:rPr>
      </w:pPr>
      <w:bookmarkStart w:id="321" w:name="_Toc510104966"/>
      <w:bookmarkStart w:id="322" w:name="_Toc510105763"/>
      <w:bookmarkStart w:id="323" w:name="_Toc510795095"/>
      <w:bookmarkStart w:id="324" w:name="_Toc511716296"/>
      <w:bookmarkStart w:id="325" w:name="_Toc511719107"/>
      <w:bookmarkEnd w:id="320"/>
      <w:r>
        <w:rPr>
          <w:rStyle w:val="CaptionChar"/>
          <w:b w:val="0"/>
        </w:rPr>
        <w:t>*</w:t>
      </w:r>
      <w:r w:rsidRPr="007678D0">
        <w:rPr>
          <w:rStyle w:val="CaptionChar"/>
          <w:b w:val="0"/>
          <w:sz w:val="18"/>
          <w:szCs w:val="18"/>
        </w:rPr>
        <w:t>Note: a planning decision has already been communicated for this band (2017), however further options are currently being considered—the time frames described pertain to completing that further consideration</w:t>
      </w:r>
      <w:r w:rsidR="00B84DB2">
        <w:rPr>
          <w:rStyle w:val="CaptionChar"/>
          <w:b w:val="0"/>
          <w:sz w:val="18"/>
          <w:szCs w:val="18"/>
        </w:rPr>
        <w:t>.</w:t>
      </w:r>
    </w:p>
    <w:p w14:paraId="4699837E" w14:textId="77777777" w:rsidR="00B84DB2" w:rsidRPr="0020408F" w:rsidRDefault="00B84DB2" w:rsidP="00A92E12">
      <w:pPr>
        <w:pStyle w:val="ACMASpaceaftertable"/>
      </w:pPr>
    </w:p>
    <w:p w14:paraId="0A5643B5" w14:textId="77777777" w:rsidR="00C56B65" w:rsidRDefault="00C56B65" w:rsidP="00455D60">
      <w:pPr>
        <w:pStyle w:val="Heading1"/>
      </w:pPr>
      <w:bookmarkStart w:id="326" w:name="_Toc510104967"/>
      <w:bookmarkStart w:id="327" w:name="_Toc510105764"/>
      <w:bookmarkStart w:id="328" w:name="_Toc510795096"/>
      <w:bookmarkStart w:id="329" w:name="_Toc511716297"/>
      <w:bookmarkStart w:id="330" w:name="_Toc511719108"/>
      <w:bookmarkStart w:id="331" w:name="_Toc522794101"/>
      <w:bookmarkStart w:id="332" w:name="_Toc524517112"/>
      <w:bookmarkEnd w:id="207"/>
      <w:bookmarkEnd w:id="208"/>
      <w:bookmarkEnd w:id="209"/>
      <w:bookmarkEnd w:id="210"/>
      <w:bookmarkEnd w:id="211"/>
      <w:bookmarkEnd w:id="212"/>
      <w:bookmarkEnd w:id="321"/>
      <w:bookmarkEnd w:id="322"/>
      <w:bookmarkEnd w:id="323"/>
      <w:bookmarkEnd w:id="324"/>
      <w:bookmarkEnd w:id="325"/>
      <w:r>
        <w:lastRenderedPageBreak/>
        <w:t xml:space="preserve">Spectrum </w:t>
      </w:r>
      <w:r w:rsidR="00B84DB2">
        <w:t>R</w:t>
      </w:r>
      <w:r>
        <w:t xml:space="preserve">eview </w:t>
      </w:r>
      <w:r w:rsidRPr="00455D60">
        <w:t>implementation</w:t>
      </w:r>
      <w:bookmarkEnd w:id="326"/>
      <w:bookmarkEnd w:id="327"/>
      <w:bookmarkEnd w:id="328"/>
      <w:bookmarkEnd w:id="329"/>
      <w:bookmarkEnd w:id="330"/>
      <w:bookmarkEnd w:id="331"/>
      <w:bookmarkEnd w:id="332"/>
    </w:p>
    <w:p w14:paraId="2A702AD5" w14:textId="77777777" w:rsidR="008B3780" w:rsidRPr="005759E7" w:rsidRDefault="008B3780" w:rsidP="00455D60">
      <w:pPr>
        <w:pStyle w:val="Heading2"/>
      </w:pPr>
      <w:bookmarkStart w:id="333" w:name="_Toc494115141"/>
      <w:bookmarkStart w:id="334" w:name="_Toc494807809"/>
      <w:bookmarkStart w:id="335" w:name="_Toc511716298"/>
      <w:bookmarkStart w:id="336" w:name="_Toc511719109"/>
      <w:bookmarkStart w:id="337" w:name="_Toc522794102"/>
      <w:bookmarkStart w:id="338" w:name="_Toc524517113"/>
      <w:r w:rsidRPr="005759E7">
        <w:t>The reform context</w:t>
      </w:r>
      <w:bookmarkEnd w:id="333"/>
      <w:bookmarkEnd w:id="334"/>
      <w:bookmarkEnd w:id="335"/>
      <w:bookmarkEnd w:id="336"/>
      <w:bookmarkEnd w:id="337"/>
      <w:bookmarkEnd w:id="338"/>
    </w:p>
    <w:p w14:paraId="2C27EA13" w14:textId="77777777" w:rsidR="008B3780" w:rsidRPr="008B3780" w:rsidRDefault="009E41C8" w:rsidP="00455D60">
      <w:r>
        <w:t>T</w:t>
      </w:r>
      <w:r w:rsidR="008B3780" w:rsidRPr="008B3780">
        <w:t xml:space="preserve">he </w:t>
      </w:r>
      <w:r>
        <w:t>release of</w:t>
      </w:r>
      <w:r w:rsidR="008B3780" w:rsidRPr="008B3780">
        <w:t xml:space="preserve"> the </w:t>
      </w:r>
      <w:hyperlink r:id="rId58" w:history="1">
        <w:r w:rsidR="008B3780" w:rsidRPr="008B3780">
          <w:rPr>
            <w:rFonts w:cs="Arial"/>
            <w:color w:val="0000FF"/>
            <w:u w:val="single"/>
          </w:rPr>
          <w:t>Exposure Draft of the Radiocommunications Bill 2017</w:t>
        </w:r>
      </w:hyperlink>
      <w:r w:rsidR="008B3780" w:rsidRPr="008B3780">
        <w:t xml:space="preserve"> (the Bill) for public comment in May 2017</w:t>
      </w:r>
      <w:r>
        <w:t xml:space="preserve"> marked an important milestone in </w:t>
      </w:r>
      <w:r w:rsidR="008B3780" w:rsidRPr="008B3780">
        <w:t>the ACMA</w:t>
      </w:r>
      <w:r>
        <w:t>’s</w:t>
      </w:r>
      <w:r w:rsidR="008B3780" w:rsidRPr="008B3780">
        <w:t xml:space="preserve"> preparations for implementing new spectrum management arrangements on commencement of the new Act. </w:t>
      </w:r>
    </w:p>
    <w:p w14:paraId="124B9354" w14:textId="77777777" w:rsidR="008B3780" w:rsidRPr="008B3780" w:rsidRDefault="008B3780" w:rsidP="00455D60">
      <w:r w:rsidRPr="008B3780">
        <w:t xml:space="preserve">In commenting on the Exposure Draft of the Bill, stakeholders wanted additional information from the ACMA about how it intends using the discretion provided under the Bill to implement the </w:t>
      </w:r>
      <w:r w:rsidR="009E41C8">
        <w:t>government’s</w:t>
      </w:r>
      <w:r w:rsidRPr="008B3780">
        <w:t xml:space="preserve"> reform directions </w:t>
      </w:r>
      <w:r w:rsidR="009E41C8">
        <w:t xml:space="preserve">for </w:t>
      </w:r>
      <w:r w:rsidRPr="008B3780">
        <w:t>spectrum management.</w:t>
      </w:r>
    </w:p>
    <w:p w14:paraId="785FA85F" w14:textId="77777777" w:rsidR="008B3780" w:rsidRPr="00533216" w:rsidRDefault="008B3780" w:rsidP="005759E7">
      <w:pPr>
        <w:spacing w:after="80"/>
        <w:rPr>
          <w:rFonts w:cs="Arial"/>
          <w:szCs w:val="20"/>
        </w:rPr>
      </w:pPr>
      <w:r w:rsidRPr="008B3780">
        <w:t xml:space="preserve">While elements of the legislative scheme are still under development, </w:t>
      </w:r>
      <w:r w:rsidRPr="008B3780">
        <w:rPr>
          <w:rFonts w:cs="Arial"/>
          <w:szCs w:val="20"/>
        </w:rPr>
        <w:t>the ACMA</w:t>
      </w:r>
      <w:r>
        <w:rPr>
          <w:rFonts w:cs="Arial"/>
          <w:szCs w:val="20"/>
        </w:rPr>
        <w:t xml:space="preserve"> </w:t>
      </w:r>
      <w:r w:rsidRPr="00533216">
        <w:rPr>
          <w:rFonts w:cs="Arial"/>
          <w:szCs w:val="20"/>
        </w:rPr>
        <w:t>identified broad reform directions and implementation paths. In last year</w:t>
      </w:r>
      <w:r w:rsidR="003E2DAE" w:rsidRPr="00533216">
        <w:rPr>
          <w:rFonts w:cs="Arial"/>
          <w:szCs w:val="20"/>
        </w:rPr>
        <w:t>’</w:t>
      </w:r>
      <w:r w:rsidRPr="00533216">
        <w:rPr>
          <w:rFonts w:cs="Arial"/>
          <w:szCs w:val="20"/>
        </w:rPr>
        <w:t>s FYSO</w:t>
      </w:r>
      <w:r w:rsidR="00DA2077" w:rsidRPr="00533216">
        <w:rPr>
          <w:rFonts w:cs="Arial"/>
          <w:szCs w:val="20"/>
        </w:rPr>
        <w:t>,</w:t>
      </w:r>
      <w:r w:rsidRPr="00533216">
        <w:rPr>
          <w:rFonts w:cs="Arial"/>
          <w:szCs w:val="20"/>
        </w:rPr>
        <w:t xml:space="preserve"> we sought feedback on</w:t>
      </w:r>
      <w:r w:rsidR="008C3C62" w:rsidRPr="00533216">
        <w:rPr>
          <w:rFonts w:cs="Arial"/>
          <w:szCs w:val="20"/>
        </w:rPr>
        <w:t>:</w:t>
      </w:r>
    </w:p>
    <w:p w14:paraId="08CB40D2" w14:textId="77777777" w:rsidR="008B3780" w:rsidRPr="008B3780" w:rsidRDefault="008B3780" w:rsidP="005759E7">
      <w:pPr>
        <w:pStyle w:val="ListBullet"/>
      </w:pPr>
      <w:r w:rsidRPr="00533216">
        <w:t>our intended</w:t>
      </w:r>
      <w:r w:rsidRPr="008B3780">
        <w:t xml:space="preserve"> approach to spectrum reform objectives and priorities</w:t>
      </w:r>
    </w:p>
    <w:p w14:paraId="788278F3" w14:textId="77777777" w:rsidR="008B3780" w:rsidRPr="008B3780" w:rsidRDefault="008B3780" w:rsidP="005759E7">
      <w:pPr>
        <w:pStyle w:val="ListBullet"/>
      </w:pPr>
      <w:r w:rsidRPr="008B3780">
        <w:t>our work plan to implement the Spectrum Review reforms</w:t>
      </w:r>
    </w:p>
    <w:p w14:paraId="4066F91D" w14:textId="77777777" w:rsidR="008B3780" w:rsidRPr="008B3780" w:rsidRDefault="008B3780" w:rsidP="005759E7">
      <w:pPr>
        <w:pStyle w:val="ListBulletLast"/>
      </w:pPr>
      <w:r w:rsidRPr="008B3780">
        <w:t xml:space="preserve">opportunities for </w:t>
      </w:r>
      <w:r>
        <w:t>user</w:t>
      </w:r>
      <w:r w:rsidRPr="008B3780">
        <w:t xml:space="preserve"> involvement in designing the revised spectrum management arrangements.</w:t>
      </w:r>
    </w:p>
    <w:p w14:paraId="496FAAAC" w14:textId="77777777" w:rsidR="008B3780" w:rsidRDefault="008B3780" w:rsidP="0077559E">
      <w:pPr>
        <w:rPr>
          <w:rFonts w:cs="Arial"/>
          <w:szCs w:val="20"/>
        </w:rPr>
      </w:pPr>
      <w:r>
        <w:rPr>
          <w:rFonts w:cs="Arial"/>
          <w:szCs w:val="20"/>
        </w:rPr>
        <w:t xml:space="preserve">Here we reflect on the feedback provided </w:t>
      </w:r>
      <w:r w:rsidR="00A07743">
        <w:rPr>
          <w:rFonts w:cs="Arial"/>
          <w:szCs w:val="20"/>
        </w:rPr>
        <w:t xml:space="preserve">and </w:t>
      </w:r>
      <w:r>
        <w:rPr>
          <w:rFonts w:cs="Arial"/>
          <w:szCs w:val="20"/>
        </w:rPr>
        <w:t>give an update on spectrum review implementation activity and planned activity for the next year.</w:t>
      </w:r>
    </w:p>
    <w:p w14:paraId="5BF359DB" w14:textId="77777777" w:rsidR="008B3780" w:rsidRPr="005759E7" w:rsidRDefault="003E2DAE" w:rsidP="005759E7">
      <w:pPr>
        <w:pStyle w:val="Heading2"/>
      </w:pPr>
      <w:bookmarkStart w:id="339" w:name="_Toc510104968"/>
      <w:bookmarkStart w:id="340" w:name="_Toc510105765"/>
      <w:bookmarkStart w:id="341" w:name="_Toc510795097"/>
      <w:bookmarkStart w:id="342" w:name="_Toc511716299"/>
      <w:bookmarkStart w:id="343" w:name="_Toc511719110"/>
      <w:bookmarkStart w:id="344" w:name="_Toc522794103"/>
      <w:bookmarkStart w:id="345" w:name="_Toc524517114"/>
      <w:r w:rsidRPr="005759E7">
        <w:t xml:space="preserve">ACMA approach to implementing the </w:t>
      </w:r>
      <w:r w:rsidR="008C3C62">
        <w:t>S</w:t>
      </w:r>
      <w:r w:rsidRPr="005759E7">
        <w:t xml:space="preserve">pectrum </w:t>
      </w:r>
      <w:r w:rsidR="008C3C62">
        <w:t>R</w:t>
      </w:r>
      <w:r w:rsidRPr="005759E7">
        <w:t>eview</w:t>
      </w:r>
      <w:bookmarkEnd w:id="339"/>
      <w:bookmarkEnd w:id="340"/>
      <w:bookmarkEnd w:id="341"/>
      <w:bookmarkEnd w:id="342"/>
      <w:bookmarkEnd w:id="343"/>
      <w:bookmarkEnd w:id="344"/>
      <w:bookmarkEnd w:id="345"/>
      <w:r w:rsidRPr="005759E7">
        <w:t xml:space="preserve"> </w:t>
      </w:r>
    </w:p>
    <w:p w14:paraId="21CB0A71" w14:textId="77777777" w:rsidR="003333A7" w:rsidRDefault="00E76074" w:rsidP="005759E7">
      <w:r>
        <w:t>The ACMA is committed to consult</w:t>
      </w:r>
      <w:r w:rsidR="00473F85">
        <w:t>ation with</w:t>
      </w:r>
      <w:r>
        <w:t xml:space="preserve"> stakeholders on the development of the new regulatory arrangements, including instruments.</w:t>
      </w:r>
      <w:r w:rsidR="004C3FE3">
        <w:t xml:space="preserve"> We will continue to communicate relevant time</w:t>
      </w:r>
      <w:r w:rsidR="00DA2077">
        <w:t xml:space="preserve"> frame</w:t>
      </w:r>
      <w:r w:rsidR="004C3FE3">
        <w:t xml:space="preserve"> information and promote opportunities to engage with us in the development of the new regulatory arrangements.</w:t>
      </w:r>
    </w:p>
    <w:p w14:paraId="055C4967" w14:textId="77777777" w:rsidR="003D68F1" w:rsidRDefault="003D68F1" w:rsidP="00A92E12">
      <w:r>
        <w:t xml:space="preserve">The ACMA’s implementation of regulatory arrangements is being undertaken </w:t>
      </w:r>
      <w:r w:rsidRPr="00D90C62">
        <w:t>in concert with the introduction to Parliament of the new Radiocommunications Bill (and related legislation) and the ACMA’s broader spectrum management reform</w:t>
      </w:r>
      <w:r w:rsidR="00DA2077">
        <w:t>,</w:t>
      </w:r>
      <w:r w:rsidRPr="00D90C62">
        <w:t xml:space="preserve"> such as the design and implementation of the single licensing system. </w:t>
      </w:r>
    </w:p>
    <w:p w14:paraId="4078984F" w14:textId="77777777" w:rsidR="00E76074" w:rsidRDefault="00E76074" w:rsidP="00445F0B">
      <w:pPr>
        <w:keepNext/>
        <w:keepLines/>
      </w:pPr>
      <w:r>
        <w:t xml:space="preserve">The </w:t>
      </w:r>
      <w:r w:rsidR="0037046B">
        <w:t>m</w:t>
      </w:r>
      <w:r w:rsidR="001556CE">
        <w:t xml:space="preserve">inister is expected to </w:t>
      </w:r>
      <w:r>
        <w:t xml:space="preserve">release a </w:t>
      </w:r>
      <w:r w:rsidRPr="00533216">
        <w:t xml:space="preserve">second Exposure Draft </w:t>
      </w:r>
      <w:r w:rsidR="008C3C62" w:rsidRPr="00533216">
        <w:t>(ED2)</w:t>
      </w:r>
      <w:r w:rsidR="008C3C62">
        <w:t xml:space="preserve"> </w:t>
      </w:r>
      <w:r>
        <w:t xml:space="preserve">of the Radiocommunication Bill, along with a Transitional and Consequential </w:t>
      </w:r>
      <w:r w:rsidR="003D68F1">
        <w:t xml:space="preserve">Amendments </w:t>
      </w:r>
      <w:r>
        <w:t xml:space="preserve">Bill </w:t>
      </w:r>
      <w:r w:rsidRPr="00760066">
        <w:t>and a radiocommunications</w:t>
      </w:r>
      <w:r>
        <w:t xml:space="preserve"> Taxation Bill</w:t>
      </w:r>
      <w:r w:rsidR="00FA6324">
        <w:t xml:space="preserve">, which </w:t>
      </w:r>
      <w:r w:rsidR="001556CE">
        <w:t>will be a key juncture in relation to consultation on new regulatory arrangements.</w:t>
      </w:r>
    </w:p>
    <w:p w14:paraId="6D77E8C3" w14:textId="77777777" w:rsidR="002A5E66" w:rsidRPr="005759E7" w:rsidRDefault="002A5E66" w:rsidP="005759E7">
      <w:pPr>
        <w:pStyle w:val="Heading2"/>
      </w:pPr>
      <w:bookmarkStart w:id="346" w:name="_Toc510104970"/>
      <w:bookmarkStart w:id="347" w:name="_Toc510105767"/>
      <w:bookmarkStart w:id="348" w:name="_Toc510795099"/>
      <w:bookmarkStart w:id="349" w:name="_Toc511716302"/>
      <w:bookmarkStart w:id="350" w:name="_Toc511719113"/>
      <w:bookmarkStart w:id="351" w:name="_Toc522794104"/>
      <w:bookmarkStart w:id="352" w:name="_Toc524517115"/>
      <w:r w:rsidRPr="005759E7">
        <w:t>Progress achieved</w:t>
      </w:r>
      <w:bookmarkEnd w:id="346"/>
      <w:bookmarkEnd w:id="347"/>
      <w:bookmarkEnd w:id="348"/>
      <w:bookmarkEnd w:id="349"/>
      <w:bookmarkEnd w:id="350"/>
      <w:bookmarkEnd w:id="351"/>
      <w:bookmarkEnd w:id="352"/>
    </w:p>
    <w:p w14:paraId="2C29676B" w14:textId="77777777" w:rsidR="004E4DF6" w:rsidRDefault="004E4DF6" w:rsidP="0077559E">
      <w:r>
        <w:t>At the Rad</w:t>
      </w:r>
      <w:r w:rsidR="00DA2077">
        <w:t>C</w:t>
      </w:r>
      <w:r>
        <w:t xml:space="preserve">omms </w:t>
      </w:r>
      <w:r w:rsidR="00DA2077">
        <w:t>2017</w:t>
      </w:r>
      <w:r w:rsidR="002370F2">
        <w:t xml:space="preserve"> </w:t>
      </w:r>
      <w:r w:rsidR="00DA2077">
        <w:t>c</w:t>
      </w:r>
      <w:r>
        <w:t>onference, the ACMA provided an opportunity for stakeholder engagement on licensing reform issues</w:t>
      </w:r>
      <w:r w:rsidR="00E351F4">
        <w:t>, where it outlined initial design parameters for licences under the single licensing scheme</w:t>
      </w:r>
      <w:r>
        <w:t>.</w:t>
      </w:r>
    </w:p>
    <w:p w14:paraId="4B7140F9" w14:textId="77777777" w:rsidR="002A5E66" w:rsidRDefault="002A5E66">
      <w:r w:rsidRPr="002A5E66">
        <w:t xml:space="preserve">The </w:t>
      </w:r>
      <w:r w:rsidR="00DA2077">
        <w:t>g</w:t>
      </w:r>
      <w:r w:rsidRPr="002A5E66">
        <w:t xml:space="preserve">overnment released its final Spectrum Pricing Review Report </w:t>
      </w:r>
      <w:r w:rsidR="00DA2077">
        <w:t>in</w:t>
      </w:r>
      <w:r w:rsidRPr="002A5E66">
        <w:t xml:space="preserve"> February 2018</w:t>
      </w:r>
      <w:r w:rsidR="00473F85">
        <w:t>,</w:t>
      </w:r>
      <w:r w:rsidRPr="002A5E66">
        <w:t xml:space="preserve"> which makes 11 recommendations to improve spectrum</w:t>
      </w:r>
      <w:r w:rsidR="00DA2077">
        <w:t>-</w:t>
      </w:r>
      <w:r w:rsidRPr="002A5E66">
        <w:t>pricing arrangements, ranging from a review of the administrative pricing formula, to how reserve prices might be set for spectrum auctions.</w:t>
      </w:r>
      <w:r w:rsidR="00915A32">
        <w:t xml:space="preserve"> T</w:t>
      </w:r>
      <w:r w:rsidR="00E351F4">
        <w:t xml:space="preserve">he </w:t>
      </w:r>
      <w:r w:rsidR="00E351F4" w:rsidRPr="00D90C62">
        <w:t xml:space="preserve">ACMA has commenced implementation of some of the </w:t>
      </w:r>
      <w:r w:rsidR="00E351F4" w:rsidRPr="00D90C62">
        <w:lastRenderedPageBreak/>
        <w:t>recommendations, such as exploring opportunities to transition bands from administrative to market allocation (recommendation 4</w:t>
      </w:r>
      <w:r w:rsidR="00E351F4">
        <w:t xml:space="preserve"> of the Pricing Review</w:t>
      </w:r>
      <w:r w:rsidR="00E351F4" w:rsidRPr="00D90C62">
        <w:t>).</w:t>
      </w:r>
    </w:p>
    <w:p w14:paraId="52D666C6" w14:textId="77777777" w:rsidR="004E4DF6" w:rsidRDefault="00051EBE">
      <w:r>
        <w:t xml:space="preserve">Consultation on </w:t>
      </w:r>
      <w:r w:rsidR="00325068">
        <w:t>c</w:t>
      </w:r>
      <w:r w:rsidR="00325068" w:rsidRPr="00D9474C">
        <w:rPr>
          <w:rFonts w:cs="Arial"/>
        </w:rPr>
        <w:t>oncepts and design principles for</w:t>
      </w:r>
      <w:r>
        <w:t xml:space="preserve"> the </w:t>
      </w:r>
      <w:r w:rsidR="004E4DF6">
        <w:t xml:space="preserve">Equipment Rules </w:t>
      </w:r>
      <w:r>
        <w:t xml:space="preserve">under the Bill </w:t>
      </w:r>
      <w:r w:rsidR="004E4DF6">
        <w:t xml:space="preserve">was delayed </w:t>
      </w:r>
      <w:proofErr w:type="gramStart"/>
      <w:r w:rsidR="004E4DF6">
        <w:t>to ensure</w:t>
      </w:r>
      <w:proofErr w:type="gramEnd"/>
      <w:r w:rsidR="004E4DF6">
        <w:t xml:space="preserve"> that there was an opportunity for stakeholder engagement after the </w:t>
      </w:r>
      <w:r w:rsidR="004E4DF6" w:rsidRPr="004E4DF6">
        <w:t>Christmas/New Ye</w:t>
      </w:r>
      <w:r w:rsidR="004E4DF6">
        <w:t>ar period. Consultation has now occurred.</w:t>
      </w:r>
    </w:p>
    <w:p w14:paraId="06319D5D" w14:textId="77777777" w:rsidR="00E351F4" w:rsidRDefault="00E351F4">
      <w:r>
        <w:t xml:space="preserve">The ACMA has continued to support </w:t>
      </w:r>
      <w:r w:rsidR="00B91108">
        <w:t xml:space="preserve">DoCA’s </w:t>
      </w:r>
      <w:r>
        <w:t xml:space="preserve">activities on drafting the new legislation and engaged with industry stakeholders at workshops conducted by </w:t>
      </w:r>
      <w:r w:rsidR="00B91108">
        <w:t>DoCA</w:t>
      </w:r>
      <w:r>
        <w:t>.</w:t>
      </w:r>
    </w:p>
    <w:p w14:paraId="386EADAF" w14:textId="77777777" w:rsidR="00C0236C" w:rsidRPr="005759E7" w:rsidRDefault="00E76074" w:rsidP="00455D60">
      <w:pPr>
        <w:pStyle w:val="Heading2"/>
      </w:pPr>
      <w:bookmarkStart w:id="353" w:name="_Toc522794105"/>
      <w:bookmarkStart w:id="354" w:name="_Toc524517116"/>
      <w:bookmarkStart w:id="355" w:name="_Toc510104971"/>
      <w:bookmarkStart w:id="356" w:name="_Toc510105768"/>
      <w:bookmarkStart w:id="357" w:name="_Toc510795100"/>
      <w:bookmarkStart w:id="358" w:name="_Toc511716303"/>
      <w:bookmarkStart w:id="359" w:name="_Toc511719114"/>
      <w:r w:rsidRPr="005759E7">
        <w:t xml:space="preserve">New/ongoing activities planned for </w:t>
      </w:r>
      <w:r w:rsidR="00B91108">
        <w:t>20</w:t>
      </w:r>
      <w:r w:rsidRPr="005759E7">
        <w:t>18</w:t>
      </w:r>
      <w:r w:rsidR="00B91108">
        <w:t>–</w:t>
      </w:r>
      <w:r w:rsidRPr="005759E7">
        <w:t>19</w:t>
      </w:r>
      <w:bookmarkEnd w:id="353"/>
      <w:bookmarkEnd w:id="354"/>
      <w:r w:rsidRPr="005759E7">
        <w:t xml:space="preserve"> </w:t>
      </w:r>
      <w:bookmarkEnd w:id="355"/>
      <w:bookmarkEnd w:id="356"/>
      <w:bookmarkEnd w:id="357"/>
      <w:bookmarkEnd w:id="358"/>
      <w:bookmarkEnd w:id="359"/>
    </w:p>
    <w:p w14:paraId="0909F58F" w14:textId="77777777" w:rsidR="00D45071" w:rsidRDefault="00D45071" w:rsidP="0077559E">
      <w:r>
        <w:t xml:space="preserve">The main areas of </w:t>
      </w:r>
      <w:r w:rsidR="00B91108">
        <w:t>S</w:t>
      </w:r>
      <w:r>
        <w:t xml:space="preserve">pectrum </w:t>
      </w:r>
      <w:r w:rsidR="00B91108">
        <w:t>R</w:t>
      </w:r>
      <w:r>
        <w:t xml:space="preserve">eview implementation activity that are expected to be undertaken in the year are outlined below. The ACMA </w:t>
      </w:r>
      <w:r w:rsidR="001556CE">
        <w:t xml:space="preserve">continues to work closely with </w:t>
      </w:r>
      <w:r w:rsidR="008C3C62">
        <w:t>DoCA</w:t>
      </w:r>
      <w:r w:rsidR="001556CE">
        <w:t xml:space="preserve"> on the draft legislation and </w:t>
      </w:r>
      <w:r w:rsidRPr="00533216">
        <w:t xml:space="preserve">expects to release </w:t>
      </w:r>
      <w:r w:rsidR="00A7326F" w:rsidRPr="00533216">
        <w:t>soon after ED2 material to assist</w:t>
      </w:r>
      <w:r w:rsidR="00A7326F">
        <w:t xml:space="preserve"> stakeholders in providing feedback on the draft legislation to DoCA. </w:t>
      </w:r>
      <w:r w:rsidR="009C264A">
        <w:t>T</w:t>
      </w:r>
      <w:r w:rsidR="00A7326F">
        <w:t xml:space="preserve">he ACMA intends to </w:t>
      </w:r>
      <w:r w:rsidR="007A516D">
        <w:t>seek stakeholder feedback on</w:t>
      </w:r>
      <w:r>
        <w:t xml:space="preserve"> </w:t>
      </w:r>
      <w:r w:rsidR="00A7326F">
        <w:t>its intended approach to implementing key areas of the new regulatory regime</w:t>
      </w:r>
      <w:r>
        <w:t xml:space="preserve">. </w:t>
      </w:r>
    </w:p>
    <w:p w14:paraId="5E1E2066" w14:textId="77777777" w:rsidR="000774DC" w:rsidRDefault="000774DC" w:rsidP="00B72DB2">
      <w:pPr>
        <w:pStyle w:val="Heading3"/>
      </w:pPr>
      <w:bookmarkStart w:id="360" w:name="_Toc510104972"/>
      <w:bookmarkStart w:id="361" w:name="_Toc510105769"/>
      <w:bookmarkStart w:id="362" w:name="_Toc510795101"/>
      <w:bookmarkStart w:id="363" w:name="_Toc511716304"/>
      <w:bookmarkStart w:id="364" w:name="_Toc511719115"/>
      <w:bookmarkStart w:id="365" w:name="_Toc522794106"/>
      <w:bookmarkStart w:id="366" w:name="_Toc524517117"/>
      <w:r>
        <w:t>Annual work program</w:t>
      </w:r>
      <w:bookmarkEnd w:id="360"/>
      <w:bookmarkEnd w:id="361"/>
      <w:bookmarkEnd w:id="362"/>
      <w:bookmarkEnd w:id="363"/>
      <w:bookmarkEnd w:id="364"/>
      <w:bookmarkEnd w:id="365"/>
      <w:bookmarkEnd w:id="366"/>
    </w:p>
    <w:p w14:paraId="44CDE4C3" w14:textId="77777777" w:rsidR="000774DC" w:rsidRDefault="00473F85" w:rsidP="00B72DB2">
      <w:r>
        <w:t xml:space="preserve">The </w:t>
      </w:r>
      <w:r w:rsidR="0024450C">
        <w:t xml:space="preserve">changes to this FYSO prepare the ACMA </w:t>
      </w:r>
      <w:r w:rsidR="00051EBE">
        <w:t xml:space="preserve">to </w:t>
      </w:r>
      <w:r w:rsidR="008F6D6E">
        <w:t>transition smoothly to the</w:t>
      </w:r>
      <w:r w:rsidR="00051EBE">
        <w:t xml:space="preserve"> annual work program obligations expected to apply under the Bill.</w:t>
      </w:r>
    </w:p>
    <w:p w14:paraId="29CDE269" w14:textId="77777777" w:rsidR="00E76074" w:rsidRPr="00D90C62" w:rsidRDefault="00D45071" w:rsidP="00A92E12">
      <w:pPr>
        <w:pStyle w:val="Heading3"/>
      </w:pPr>
      <w:bookmarkStart w:id="367" w:name="_Toc510104973"/>
      <w:bookmarkStart w:id="368" w:name="_Toc510105770"/>
      <w:bookmarkStart w:id="369" w:name="_Toc510795102"/>
      <w:bookmarkStart w:id="370" w:name="_Toc511716305"/>
      <w:bookmarkStart w:id="371" w:name="_Toc511719116"/>
      <w:bookmarkStart w:id="372" w:name="_Toc522794107"/>
      <w:bookmarkStart w:id="373" w:name="_Toc524517118"/>
      <w:r w:rsidRPr="008C3C62">
        <w:t>Licensing</w:t>
      </w:r>
      <w:bookmarkEnd w:id="367"/>
      <w:bookmarkEnd w:id="368"/>
      <w:bookmarkEnd w:id="369"/>
      <w:bookmarkEnd w:id="370"/>
      <w:bookmarkEnd w:id="371"/>
      <w:bookmarkEnd w:id="372"/>
      <w:bookmarkEnd w:id="373"/>
      <w:r>
        <w:t xml:space="preserve"> </w:t>
      </w:r>
    </w:p>
    <w:p w14:paraId="5A739A41" w14:textId="77777777" w:rsidR="00F84A8F" w:rsidRDefault="00F84A8F" w:rsidP="0077559E">
      <w:r>
        <w:t xml:space="preserve">The ACMA intends to issue for consultation information about the </w:t>
      </w:r>
      <w:r w:rsidRPr="00F84A8F">
        <w:t xml:space="preserve">design </w:t>
      </w:r>
      <w:r>
        <w:t xml:space="preserve">of the new </w:t>
      </w:r>
      <w:r w:rsidRPr="00F84A8F">
        <w:t xml:space="preserve">licensing system and </w:t>
      </w:r>
      <w:r>
        <w:t xml:space="preserve">replacement licences, following release of </w:t>
      </w:r>
      <w:r w:rsidR="008F6D6E">
        <w:t>ED2</w:t>
      </w:r>
      <w:r>
        <w:t>.</w:t>
      </w:r>
      <w:r w:rsidR="00473F85">
        <w:t xml:space="preserve"> The package will also consult </w:t>
      </w:r>
      <w:r>
        <w:t xml:space="preserve">on approaches to the transition of </w:t>
      </w:r>
      <w:r w:rsidR="008F6D6E">
        <w:t xml:space="preserve">existing </w:t>
      </w:r>
      <w:r>
        <w:t>licences.</w:t>
      </w:r>
    </w:p>
    <w:p w14:paraId="1FF18DBA" w14:textId="77777777" w:rsidR="002A5E66" w:rsidRPr="008C3C62" w:rsidRDefault="002A5E66" w:rsidP="00A92E12">
      <w:pPr>
        <w:pStyle w:val="Heading3"/>
      </w:pPr>
      <w:bookmarkStart w:id="374" w:name="_Toc510104974"/>
      <w:bookmarkStart w:id="375" w:name="_Toc510105771"/>
      <w:bookmarkStart w:id="376" w:name="_Toc510795103"/>
      <w:bookmarkStart w:id="377" w:name="_Toc511716306"/>
      <w:bookmarkStart w:id="378" w:name="_Toc511719117"/>
      <w:bookmarkStart w:id="379" w:name="_Toc522794108"/>
      <w:bookmarkStart w:id="380" w:name="_Toc524517119"/>
      <w:r w:rsidRPr="008C3C62">
        <w:t>Pricing</w:t>
      </w:r>
      <w:bookmarkEnd w:id="374"/>
      <w:bookmarkEnd w:id="375"/>
      <w:bookmarkEnd w:id="376"/>
      <w:bookmarkEnd w:id="377"/>
      <w:bookmarkEnd w:id="378"/>
      <w:bookmarkEnd w:id="379"/>
      <w:bookmarkEnd w:id="380"/>
    </w:p>
    <w:p w14:paraId="10D6D172" w14:textId="77777777" w:rsidR="002A5E66" w:rsidRDefault="002A5E66" w:rsidP="005759E7">
      <w:pPr>
        <w:spacing w:after="80"/>
      </w:pPr>
      <w:r>
        <w:t>To implement recommendations</w:t>
      </w:r>
      <w:r w:rsidR="008F6D6E">
        <w:t xml:space="preserve"> of the government’s </w:t>
      </w:r>
      <w:r w:rsidR="008F6D6E" w:rsidRPr="002A5E66">
        <w:t>Spectrum Pricing Review</w:t>
      </w:r>
      <w:r>
        <w:t xml:space="preserve">, the ACMA intends to initiate </w:t>
      </w:r>
      <w:r w:rsidR="00B91108">
        <w:t xml:space="preserve">three </w:t>
      </w:r>
      <w:r>
        <w:t>substantive programs</w:t>
      </w:r>
      <w:r w:rsidR="008F6D6E">
        <w:t xml:space="preserve"> of work</w:t>
      </w:r>
      <w:r>
        <w:t>:</w:t>
      </w:r>
    </w:p>
    <w:p w14:paraId="1C2DB0B9" w14:textId="77777777" w:rsidR="002A5E66" w:rsidRPr="009361C2" w:rsidRDefault="001110F9" w:rsidP="005759E7">
      <w:pPr>
        <w:pStyle w:val="ListBullet"/>
      </w:pPr>
      <w:r w:rsidRPr="009361C2">
        <w:t xml:space="preserve">development of </w:t>
      </w:r>
      <w:r w:rsidR="002A5E66" w:rsidRPr="009361C2">
        <w:t>Spectrum Pricing Guidelines (recommendation 1) to provide better transparency and help licensees better understand how the ACMA approaches spectrum pricing.</w:t>
      </w:r>
      <w:r w:rsidR="00C0236C" w:rsidRPr="009361C2">
        <w:t xml:space="preserve"> </w:t>
      </w:r>
    </w:p>
    <w:p w14:paraId="1FE1666D" w14:textId="77777777" w:rsidR="00C0236C" w:rsidRPr="009361C2" w:rsidRDefault="001110F9" w:rsidP="005759E7">
      <w:pPr>
        <w:pStyle w:val="ListBullet"/>
      </w:pPr>
      <w:r w:rsidRPr="009361C2">
        <w:t>a</w:t>
      </w:r>
      <w:r w:rsidR="002A5E66" w:rsidRPr="009361C2">
        <w:t xml:space="preserve"> review of how the ACMA administratively prices spectrum and the formula used to set many of the current apparatus licence taxes (recommendation 7). There is potential to improve the ACMA’s administrative pricing of spectrum so that it more closely reflects market value through approaches such as opportunity-cost based pricing.</w:t>
      </w:r>
      <w:r w:rsidR="00C0236C" w:rsidRPr="009361C2">
        <w:t xml:space="preserve"> </w:t>
      </w:r>
    </w:p>
    <w:p w14:paraId="25232670" w14:textId="77777777" w:rsidR="00727699" w:rsidRDefault="001110F9" w:rsidP="005759E7">
      <w:pPr>
        <w:pStyle w:val="ListBulletLast"/>
      </w:pPr>
      <w:r w:rsidRPr="009361C2">
        <w:t xml:space="preserve">simplification of </w:t>
      </w:r>
      <w:r w:rsidR="002A5E66" w:rsidRPr="009361C2">
        <w:t>industry cost recovery arrangements by combining separate taxes into a single radiocommunications licence tax.</w:t>
      </w:r>
      <w:r w:rsidRPr="009361C2">
        <w:t xml:space="preserve"> This is intended to occur in conjunction with the administrative pricing arrangements.</w:t>
      </w:r>
    </w:p>
    <w:p w14:paraId="50864B10" w14:textId="77777777" w:rsidR="009C60F1" w:rsidRDefault="009C60F1" w:rsidP="009D0090">
      <w:r>
        <w:t>The ACMA will c</w:t>
      </w:r>
      <w:r w:rsidRPr="009361C2">
        <w:t xml:space="preserve">onsult on </w:t>
      </w:r>
      <w:r>
        <w:t xml:space="preserve">these </w:t>
      </w:r>
      <w:r w:rsidRPr="009361C2">
        <w:t xml:space="preserve">pricing </w:t>
      </w:r>
      <w:r>
        <w:t>programs following the release of ED2.</w:t>
      </w:r>
    </w:p>
    <w:p w14:paraId="4AFA7D61" w14:textId="77777777" w:rsidR="009B7D14" w:rsidRPr="00D90C62" w:rsidRDefault="009B7D14" w:rsidP="009B7D14">
      <w:pPr>
        <w:pStyle w:val="Heading3"/>
        <w:keepNext w:val="0"/>
      </w:pPr>
      <w:bookmarkStart w:id="381" w:name="_Toc522794109"/>
      <w:bookmarkStart w:id="382" w:name="_Toc524517120"/>
      <w:bookmarkStart w:id="383" w:name="_Toc510104975"/>
      <w:bookmarkStart w:id="384" w:name="_Toc510105772"/>
      <w:bookmarkStart w:id="385" w:name="_Toc510795104"/>
      <w:bookmarkStart w:id="386" w:name="_Toc511716307"/>
      <w:bookmarkStart w:id="387" w:name="_Toc511719118"/>
      <w:r>
        <w:t>Planning</w:t>
      </w:r>
      <w:bookmarkEnd w:id="381"/>
      <w:bookmarkEnd w:id="382"/>
    </w:p>
    <w:p w14:paraId="06A8C08B" w14:textId="77777777" w:rsidR="009B7D14" w:rsidRDefault="009B7D14" w:rsidP="009B7D14">
      <w:r>
        <w:t xml:space="preserve">The ACMA intends to </w:t>
      </w:r>
      <w:r w:rsidR="00F157C9">
        <w:t>consult on</w:t>
      </w:r>
      <w:r>
        <w:t xml:space="preserve"> </w:t>
      </w:r>
      <w:r w:rsidRPr="00F84A8F">
        <w:t xml:space="preserve">design </w:t>
      </w:r>
      <w:r>
        <w:t>options for the spectrum planning technical framework under the Bill, following release of ED2.</w:t>
      </w:r>
    </w:p>
    <w:p w14:paraId="12EF40DB" w14:textId="77777777" w:rsidR="007B1BE0" w:rsidRDefault="007B1BE0" w:rsidP="007B1BE0">
      <w:pPr>
        <w:pStyle w:val="Heading3"/>
        <w:keepNext w:val="0"/>
      </w:pPr>
      <w:bookmarkStart w:id="388" w:name="_Toc522794110"/>
      <w:bookmarkStart w:id="389" w:name="_Toc524517121"/>
      <w:r>
        <w:t>Interference management</w:t>
      </w:r>
      <w:bookmarkEnd w:id="388"/>
      <w:bookmarkEnd w:id="389"/>
    </w:p>
    <w:p w14:paraId="7F97D969" w14:textId="77777777" w:rsidR="007B1BE0" w:rsidRDefault="007B1BE0" w:rsidP="007B1BE0">
      <w:r>
        <w:t xml:space="preserve">The ACMA </w:t>
      </w:r>
      <w:r w:rsidR="00DE5C44">
        <w:t xml:space="preserve">continues to </w:t>
      </w:r>
      <w:r w:rsidR="008023C1">
        <w:t>consider industry feedback on its</w:t>
      </w:r>
      <w:r w:rsidDel="008023C1">
        <w:t xml:space="preserve"> </w:t>
      </w:r>
      <w:r>
        <w:t xml:space="preserve">interference management principles </w:t>
      </w:r>
      <w:r w:rsidR="00DE5C44">
        <w:t>and expects to finalise them during 2018</w:t>
      </w:r>
      <w:r>
        <w:t>. The principles will inform the development of an interference management framework, which will provide updated procedural guidance for licensees making interference complaints to the ACMA.</w:t>
      </w:r>
    </w:p>
    <w:p w14:paraId="7F7C98C3" w14:textId="77777777" w:rsidR="00915A32" w:rsidRDefault="00915A32" w:rsidP="00A92E12">
      <w:pPr>
        <w:pStyle w:val="Heading3"/>
      </w:pPr>
      <w:bookmarkStart w:id="390" w:name="_Toc522794111"/>
      <w:bookmarkStart w:id="391" w:name="_Toc524517122"/>
      <w:r>
        <w:lastRenderedPageBreak/>
        <w:t xml:space="preserve">Equipment </w:t>
      </w:r>
      <w:r w:rsidR="00B91108" w:rsidRPr="008C3C62">
        <w:t>r</w:t>
      </w:r>
      <w:r w:rsidRPr="008C3C62">
        <w:t>ules</w:t>
      </w:r>
      <w:bookmarkEnd w:id="383"/>
      <w:bookmarkEnd w:id="384"/>
      <w:bookmarkEnd w:id="385"/>
      <w:bookmarkEnd w:id="386"/>
      <w:bookmarkEnd w:id="387"/>
      <w:bookmarkEnd w:id="390"/>
      <w:bookmarkEnd w:id="391"/>
    </w:p>
    <w:p w14:paraId="69FD6859" w14:textId="77777777" w:rsidR="00542175" w:rsidRPr="00D9474C" w:rsidRDefault="00542175" w:rsidP="00B72DB2">
      <w:r w:rsidRPr="00D9474C">
        <w:t xml:space="preserve">Outcomes of </w:t>
      </w:r>
      <w:r w:rsidR="00D9474C">
        <w:t xml:space="preserve">the </w:t>
      </w:r>
      <w:r w:rsidR="00325068">
        <w:t>Q</w:t>
      </w:r>
      <w:r w:rsidR="00483883">
        <w:t>3</w:t>
      </w:r>
      <w:r w:rsidR="00325068">
        <w:t xml:space="preserve"> 2017</w:t>
      </w:r>
      <w:r w:rsidR="00B91108">
        <w:t>–</w:t>
      </w:r>
      <w:r w:rsidR="00325068">
        <w:t xml:space="preserve">18 </w:t>
      </w:r>
      <w:r w:rsidRPr="00D9474C">
        <w:t>consultation on concepts and design principles for equipment rules will be incorporated in</w:t>
      </w:r>
      <w:r w:rsidR="006F1CB1">
        <w:t>to a more detailed options paper for consultation, following the release of ED2.</w:t>
      </w:r>
    </w:p>
    <w:p w14:paraId="399913BF" w14:textId="77777777" w:rsidR="00542175" w:rsidRPr="00455D60" w:rsidRDefault="00915A32" w:rsidP="008C3C62">
      <w:pPr>
        <w:pStyle w:val="Heading3"/>
      </w:pPr>
      <w:bookmarkStart w:id="392" w:name="_Toc510104976"/>
      <w:bookmarkStart w:id="393" w:name="_Toc510105773"/>
      <w:bookmarkStart w:id="394" w:name="_Toc510795105"/>
      <w:bookmarkStart w:id="395" w:name="_Toc511716308"/>
      <w:bookmarkStart w:id="396" w:name="_Toc511719119"/>
      <w:bookmarkStart w:id="397" w:name="_Toc522794112"/>
      <w:bookmarkStart w:id="398" w:name="_Toc524517123"/>
      <w:r w:rsidRPr="00455D60">
        <w:t>Accreditation</w:t>
      </w:r>
      <w:r w:rsidR="000774DC" w:rsidRPr="00455D60">
        <w:t xml:space="preserve"> arrangements</w:t>
      </w:r>
      <w:bookmarkEnd w:id="392"/>
      <w:bookmarkEnd w:id="393"/>
      <w:bookmarkEnd w:id="394"/>
      <w:bookmarkEnd w:id="395"/>
      <w:bookmarkEnd w:id="396"/>
      <w:bookmarkEnd w:id="397"/>
      <w:bookmarkEnd w:id="398"/>
    </w:p>
    <w:p w14:paraId="40975211" w14:textId="77777777" w:rsidR="00286D6B" w:rsidRDefault="000774DC" w:rsidP="0077559E">
      <w:r>
        <w:t>The d</w:t>
      </w:r>
      <w:r w:rsidRPr="000774DC">
        <w:t>esign and development of ne</w:t>
      </w:r>
      <w:r>
        <w:t xml:space="preserve">w accreditation rules is intended for consultation after </w:t>
      </w:r>
      <w:r w:rsidR="00896BAC">
        <w:t xml:space="preserve">the </w:t>
      </w:r>
      <w:r>
        <w:t xml:space="preserve">release of </w:t>
      </w:r>
      <w:r w:rsidR="00051BCF">
        <w:t>ED2</w:t>
      </w:r>
      <w:r w:rsidR="00F84A8F">
        <w:t>.</w:t>
      </w:r>
    </w:p>
    <w:p w14:paraId="08341B30" w14:textId="77777777" w:rsidR="00286D6B" w:rsidRPr="00286D6B" w:rsidRDefault="00286D6B" w:rsidP="005759E7">
      <w:pPr>
        <w:pStyle w:val="Heading1"/>
      </w:pPr>
      <w:bookmarkStart w:id="399" w:name="_Toc510104978"/>
      <w:bookmarkStart w:id="400" w:name="_Toc510105775"/>
      <w:bookmarkStart w:id="401" w:name="_Toc510795107"/>
      <w:bookmarkStart w:id="402" w:name="_Toc511716310"/>
      <w:bookmarkStart w:id="403" w:name="_Toc511719121"/>
      <w:bookmarkStart w:id="404" w:name="_Toc522794113"/>
      <w:bookmarkStart w:id="405" w:name="_Toc524517124"/>
      <w:r>
        <w:lastRenderedPageBreak/>
        <w:t>Licensing</w:t>
      </w:r>
      <w:r w:rsidR="008B4A81">
        <w:t xml:space="preserve"> and licensing systems</w:t>
      </w:r>
      <w:bookmarkEnd w:id="399"/>
      <w:bookmarkEnd w:id="400"/>
      <w:bookmarkEnd w:id="401"/>
      <w:bookmarkEnd w:id="402"/>
      <w:bookmarkEnd w:id="403"/>
      <w:bookmarkEnd w:id="404"/>
      <w:bookmarkEnd w:id="405"/>
    </w:p>
    <w:p w14:paraId="5203BF14" w14:textId="77777777" w:rsidR="008B4A81" w:rsidRPr="005759E7" w:rsidRDefault="008B4A81" w:rsidP="005759E7">
      <w:pPr>
        <w:pStyle w:val="Heading2"/>
      </w:pPr>
      <w:bookmarkStart w:id="406" w:name="_Toc510104979"/>
      <w:bookmarkStart w:id="407" w:name="_Toc510105776"/>
      <w:bookmarkStart w:id="408" w:name="_Toc510795108"/>
      <w:bookmarkStart w:id="409" w:name="_Toc511716311"/>
      <w:bookmarkStart w:id="410" w:name="_Toc511719122"/>
      <w:bookmarkStart w:id="411" w:name="_Toc522794114"/>
      <w:bookmarkStart w:id="412" w:name="_Toc524517125"/>
      <w:r w:rsidRPr="005759E7">
        <w:t>Progress achieved</w:t>
      </w:r>
      <w:bookmarkEnd w:id="406"/>
      <w:bookmarkEnd w:id="407"/>
      <w:bookmarkEnd w:id="408"/>
      <w:bookmarkEnd w:id="409"/>
      <w:bookmarkEnd w:id="410"/>
      <w:bookmarkEnd w:id="411"/>
      <w:bookmarkEnd w:id="412"/>
    </w:p>
    <w:p w14:paraId="74C63668" w14:textId="77777777" w:rsidR="008B4A81" w:rsidRDefault="008B4A81" w:rsidP="005759E7">
      <w:pPr>
        <w:pStyle w:val="Heading3"/>
      </w:pPr>
      <w:bookmarkStart w:id="413" w:name="_Toc510104980"/>
      <w:bookmarkStart w:id="414" w:name="_Toc510105777"/>
      <w:bookmarkStart w:id="415" w:name="_Toc510795109"/>
      <w:bookmarkStart w:id="416" w:name="_Toc511716312"/>
      <w:bookmarkStart w:id="417" w:name="_Toc511719123"/>
      <w:bookmarkStart w:id="418" w:name="_Toc522794115"/>
      <w:bookmarkStart w:id="419" w:name="_Toc524517126"/>
      <w:r>
        <w:t xml:space="preserve">Body scanners in </w:t>
      </w:r>
      <w:r w:rsidRPr="00455D60">
        <w:t>airports</w:t>
      </w:r>
      <w:bookmarkEnd w:id="413"/>
      <w:bookmarkEnd w:id="414"/>
      <w:bookmarkEnd w:id="415"/>
      <w:bookmarkEnd w:id="416"/>
      <w:bookmarkEnd w:id="417"/>
      <w:bookmarkEnd w:id="418"/>
      <w:bookmarkEnd w:id="419"/>
    </w:p>
    <w:p w14:paraId="7322334E" w14:textId="77777777" w:rsidR="008B4A81" w:rsidRDefault="008B4A81" w:rsidP="0077559E">
      <w:r>
        <w:t>In 2017</w:t>
      </w:r>
      <w:r w:rsidR="00B91108">
        <w:t>–</w:t>
      </w:r>
      <w:r>
        <w:t>18</w:t>
      </w:r>
      <w:r w:rsidR="00B91108">
        <w:t xml:space="preserve">, </w:t>
      </w:r>
      <w:r>
        <w:t xml:space="preserve">the ACMA commenced consultation on changes to licensing for body scanners at airports, following representations from the Office of Transport Security in the Department of Home Affairs. The ACMA expects to consider changes to the current applicable licensing </w:t>
      </w:r>
      <w:r w:rsidR="00B91108">
        <w:t>during</w:t>
      </w:r>
      <w:r>
        <w:t xml:space="preserve"> 2018</w:t>
      </w:r>
      <w:r w:rsidR="00B91108">
        <w:t>–</w:t>
      </w:r>
      <w:r>
        <w:t>19</w:t>
      </w:r>
      <w:r w:rsidR="00426CFA">
        <w:t>.</w:t>
      </w:r>
    </w:p>
    <w:p w14:paraId="02173D89" w14:textId="77777777" w:rsidR="008B4A81" w:rsidRDefault="008B4A81" w:rsidP="005759E7">
      <w:pPr>
        <w:pStyle w:val="Heading3"/>
      </w:pPr>
      <w:bookmarkStart w:id="420" w:name="_Toc510104981"/>
      <w:bookmarkStart w:id="421" w:name="_Toc510105778"/>
      <w:bookmarkStart w:id="422" w:name="_Toc510795110"/>
      <w:bookmarkStart w:id="423" w:name="_Toc511716313"/>
      <w:bookmarkStart w:id="424" w:name="_Toc511719124"/>
      <w:bookmarkStart w:id="425" w:name="_Toc522794116"/>
      <w:bookmarkStart w:id="426" w:name="_Toc524517127"/>
      <w:r>
        <w:t xml:space="preserve">Licensing processing </w:t>
      </w:r>
      <w:r w:rsidRPr="00455D60">
        <w:t>system</w:t>
      </w:r>
      <w:bookmarkEnd w:id="420"/>
      <w:bookmarkEnd w:id="421"/>
      <w:bookmarkEnd w:id="422"/>
      <w:bookmarkEnd w:id="423"/>
      <w:bookmarkEnd w:id="424"/>
      <w:bookmarkEnd w:id="425"/>
      <w:bookmarkEnd w:id="426"/>
    </w:p>
    <w:p w14:paraId="50A07088" w14:textId="77777777" w:rsidR="008B4A81" w:rsidRPr="008B4A81" w:rsidRDefault="008B4A81" w:rsidP="0077559E">
      <w:r>
        <w:t xml:space="preserve">Work </w:t>
      </w:r>
      <w:r w:rsidR="00B2318D">
        <w:t>has been suspended</w:t>
      </w:r>
      <w:r>
        <w:t xml:space="preserve"> on developing an online portal </w:t>
      </w:r>
      <w:r w:rsidR="00B2318D">
        <w:t>d</w:t>
      </w:r>
      <w:r w:rsidR="00860E95">
        <w:t>ue</w:t>
      </w:r>
      <w:r w:rsidR="00B2318D">
        <w:t xml:space="preserve"> to re-prioritisation of ACMA ICT resources</w:t>
      </w:r>
      <w:r w:rsidR="00426CFA">
        <w:t>.</w:t>
      </w:r>
    </w:p>
    <w:p w14:paraId="360A015A" w14:textId="77777777" w:rsidR="00266584" w:rsidRPr="005759E7" w:rsidRDefault="008B4A81" w:rsidP="005759E7">
      <w:pPr>
        <w:pStyle w:val="Heading2"/>
      </w:pPr>
      <w:bookmarkStart w:id="427" w:name="_Toc510104982"/>
      <w:bookmarkStart w:id="428" w:name="_Toc510105779"/>
      <w:bookmarkStart w:id="429" w:name="_Toc510795111"/>
      <w:bookmarkStart w:id="430" w:name="_Toc511716314"/>
      <w:bookmarkStart w:id="431" w:name="_Toc511719125"/>
      <w:bookmarkStart w:id="432" w:name="_Toc522794117"/>
      <w:bookmarkStart w:id="433" w:name="_Toc524517128"/>
      <w:r w:rsidRPr="005759E7">
        <w:t xml:space="preserve">New/ongoing activities planned for </w:t>
      </w:r>
      <w:r w:rsidR="004A6CDE">
        <w:t>20</w:t>
      </w:r>
      <w:r w:rsidRPr="005759E7">
        <w:t>18</w:t>
      </w:r>
      <w:r w:rsidR="004A6CDE">
        <w:t>–</w:t>
      </w:r>
      <w:r w:rsidRPr="005759E7">
        <w:t>19 year</w:t>
      </w:r>
      <w:bookmarkEnd w:id="427"/>
      <w:bookmarkEnd w:id="428"/>
      <w:bookmarkEnd w:id="429"/>
      <w:bookmarkEnd w:id="430"/>
      <w:bookmarkEnd w:id="431"/>
      <w:bookmarkEnd w:id="432"/>
      <w:bookmarkEnd w:id="433"/>
    </w:p>
    <w:p w14:paraId="38E2B269" w14:textId="77777777" w:rsidR="008B4A81" w:rsidRDefault="00266584" w:rsidP="005759E7">
      <w:pPr>
        <w:pStyle w:val="Heading3"/>
      </w:pPr>
      <w:bookmarkStart w:id="434" w:name="_Toc510104983"/>
      <w:bookmarkStart w:id="435" w:name="_Toc510105780"/>
      <w:bookmarkStart w:id="436" w:name="_Toc510795112"/>
      <w:bookmarkStart w:id="437" w:name="_Toc511716315"/>
      <w:bookmarkStart w:id="438" w:name="_Toc511719126"/>
      <w:bookmarkStart w:id="439" w:name="_Toc522794118"/>
      <w:bookmarkStart w:id="440" w:name="_Toc524517129"/>
      <w:r>
        <w:t xml:space="preserve">Renew </w:t>
      </w:r>
      <w:r w:rsidRPr="00455D60">
        <w:t>arrangements</w:t>
      </w:r>
      <w:r>
        <w:t xml:space="preserve"> for amateur certificates of proficiency</w:t>
      </w:r>
      <w:bookmarkEnd w:id="434"/>
      <w:bookmarkEnd w:id="435"/>
      <w:bookmarkEnd w:id="436"/>
      <w:bookmarkEnd w:id="437"/>
      <w:bookmarkEnd w:id="438"/>
      <w:bookmarkEnd w:id="439"/>
      <w:bookmarkEnd w:id="440"/>
    </w:p>
    <w:p w14:paraId="6BE34261" w14:textId="77777777" w:rsidR="008B4A81" w:rsidRDefault="00266584" w:rsidP="0077559E">
      <w:r>
        <w:t xml:space="preserve">The ACMA currently arranges for the delivery of amateur certificates of proficiency through a delegation of powers and a </w:t>
      </w:r>
      <w:r w:rsidR="00E830BA">
        <w:t>d</w:t>
      </w:r>
      <w:r>
        <w:t xml:space="preserve">eed with the Wireless </w:t>
      </w:r>
      <w:r w:rsidR="002D62C3">
        <w:t>I</w:t>
      </w:r>
      <w:r>
        <w:t>nstitute of Australia</w:t>
      </w:r>
      <w:r w:rsidR="002D62C3">
        <w:t xml:space="preserve"> (WIA)</w:t>
      </w:r>
      <w:r>
        <w:t xml:space="preserve">. The current </w:t>
      </w:r>
      <w:r w:rsidR="00E830BA">
        <w:t>d</w:t>
      </w:r>
      <w:r>
        <w:t xml:space="preserve">eed is due to expire in February 2019. Before that time, the ACMA will consider </w:t>
      </w:r>
      <w:r w:rsidR="00C10DEF">
        <w:t xml:space="preserve">options </w:t>
      </w:r>
      <w:r>
        <w:t xml:space="preserve">for continued availability of </w:t>
      </w:r>
      <w:r w:rsidR="008B4A81" w:rsidDel="00C10DEF">
        <w:t xml:space="preserve">amateur </w:t>
      </w:r>
      <w:r w:rsidR="00C10DEF">
        <w:t>qualifications, including continuation of existing certificate of proficiency arrangements or other potential training and qualification frameworks</w:t>
      </w:r>
      <w:r w:rsidR="008B4A81">
        <w:t>.</w:t>
      </w:r>
      <w:r w:rsidR="00903166">
        <w:t xml:space="preserve"> Any modification of the existing arrangements would include </w:t>
      </w:r>
      <w:r w:rsidR="005C6E0F">
        <w:t xml:space="preserve">public </w:t>
      </w:r>
      <w:r w:rsidR="00903166">
        <w:t xml:space="preserve">consultation </w:t>
      </w:r>
      <w:r w:rsidR="00C10DEF">
        <w:t>about any required changes to</w:t>
      </w:r>
      <w:r w:rsidR="00903166">
        <w:t xml:space="preserve"> related legislative instruments</w:t>
      </w:r>
      <w:r w:rsidR="00C10DEF">
        <w:t>.</w:t>
      </w:r>
    </w:p>
    <w:p w14:paraId="08767416" w14:textId="77777777" w:rsidR="002D62C3" w:rsidRDefault="002D62C3" w:rsidP="002D62C3">
      <w:pPr>
        <w:pStyle w:val="Heading3"/>
        <w:rPr>
          <w:rFonts w:ascii="Calibri" w:hAnsi="Calibri"/>
        </w:rPr>
      </w:pPr>
      <w:bookmarkStart w:id="441" w:name="_Toc522794119"/>
      <w:bookmarkStart w:id="442" w:name="_Toc524517130"/>
      <w:r>
        <w:t>Consideration of changes to amateur licence conditions</w:t>
      </w:r>
      <w:bookmarkEnd w:id="441"/>
      <w:bookmarkEnd w:id="442"/>
    </w:p>
    <w:p w14:paraId="43501262" w14:textId="77777777" w:rsidR="002D62C3" w:rsidRDefault="002D62C3" w:rsidP="002D62C3">
      <w:pPr>
        <w:spacing w:after="80"/>
      </w:pPr>
      <w:r>
        <w:t>The ACMA has received submissions from the WIA and the Radio Amateur Society of Australia requesting changes to the conditions under which amateur licensees operate. In addition to requests for access to frequency bands detailed above, these submissions seek:</w:t>
      </w:r>
    </w:p>
    <w:p w14:paraId="71DE21C0" w14:textId="77777777" w:rsidR="002D62C3" w:rsidRDefault="002D62C3" w:rsidP="002D62C3">
      <w:pPr>
        <w:pStyle w:val="ListBullet"/>
      </w:pPr>
      <w:r>
        <w:t>a review of permitted transmitter output power levels</w:t>
      </w:r>
    </w:p>
    <w:p w14:paraId="71C1AF05" w14:textId="77777777" w:rsidR="002D62C3" w:rsidRDefault="002D62C3" w:rsidP="002D62C3">
      <w:pPr>
        <w:pStyle w:val="ListBullet"/>
      </w:pPr>
      <w:r>
        <w:t>the relaxation of permitted bandwidths and emission modes in certain circumstances</w:t>
      </w:r>
    </w:p>
    <w:p w14:paraId="2E643ECA" w14:textId="77777777" w:rsidR="002D62C3" w:rsidRDefault="002D62C3" w:rsidP="002D62C3">
      <w:pPr>
        <w:pStyle w:val="ListBullet"/>
      </w:pPr>
      <w:r>
        <w:t xml:space="preserve">authorisation for foundation licensees to use digital modes and non-commercially manufactured equipment </w:t>
      </w:r>
    </w:p>
    <w:p w14:paraId="56C99B7B" w14:textId="77777777" w:rsidR="002D62C3" w:rsidRDefault="002D62C3" w:rsidP="002D62C3">
      <w:pPr>
        <w:pStyle w:val="ListBulletLast"/>
      </w:pPr>
      <w:r>
        <w:t>clearer definitions of certain terminology.</w:t>
      </w:r>
    </w:p>
    <w:p w14:paraId="0F5E9E32" w14:textId="77777777" w:rsidR="002D62C3" w:rsidRDefault="00242CFC" w:rsidP="0077559E">
      <w:r>
        <w:t>The ACM</w:t>
      </w:r>
      <w:r w:rsidR="002D62C3">
        <w:t xml:space="preserve">A will consider these requests. Any amendment to the licence conditions would follow </w:t>
      </w:r>
      <w:r w:rsidR="005C6E0F">
        <w:t xml:space="preserve">public </w:t>
      </w:r>
      <w:r w:rsidR="002D62C3">
        <w:t xml:space="preserve">consultation. </w:t>
      </w:r>
    </w:p>
    <w:p w14:paraId="3BE795D8" w14:textId="77777777" w:rsidR="00266584" w:rsidRDefault="000D7266" w:rsidP="00CA45D7">
      <w:pPr>
        <w:pStyle w:val="Heading3"/>
        <w:keepNext w:val="0"/>
      </w:pPr>
      <w:bookmarkStart w:id="443" w:name="_Toc510104984"/>
      <w:bookmarkStart w:id="444" w:name="_Toc510105781"/>
      <w:bookmarkStart w:id="445" w:name="_Toc510795113"/>
      <w:bookmarkStart w:id="446" w:name="_Toc511716316"/>
      <w:bookmarkStart w:id="447" w:name="_Toc511719127"/>
      <w:bookmarkStart w:id="448" w:name="_Toc522794120"/>
      <w:bookmarkStart w:id="449" w:name="_Toc524517131"/>
      <w:r>
        <w:t xml:space="preserve">Enabling trials of </w:t>
      </w:r>
      <w:r w:rsidR="00266584">
        <w:t xml:space="preserve">mobile phone jammers </w:t>
      </w:r>
      <w:bookmarkEnd w:id="443"/>
      <w:bookmarkEnd w:id="444"/>
      <w:r>
        <w:t>in prisons</w:t>
      </w:r>
      <w:bookmarkEnd w:id="445"/>
      <w:bookmarkEnd w:id="446"/>
      <w:bookmarkEnd w:id="447"/>
      <w:bookmarkEnd w:id="448"/>
      <w:bookmarkEnd w:id="449"/>
    </w:p>
    <w:p w14:paraId="3E6C435B" w14:textId="77777777" w:rsidR="008B4A81" w:rsidRDefault="00266584" w:rsidP="0077559E">
      <w:r>
        <w:t xml:space="preserve">The ACMA currently facilitates jamming of mobile phones in Lithgow </w:t>
      </w:r>
      <w:r w:rsidR="000D7266">
        <w:t>C</w:t>
      </w:r>
      <w:r>
        <w:t>orrection</w:t>
      </w:r>
      <w:r w:rsidR="003B1074">
        <w:t>al</w:t>
      </w:r>
      <w:r>
        <w:t xml:space="preserve"> Centre through the </w:t>
      </w:r>
      <w:r w:rsidRPr="007A2ADC">
        <w:t>Radiocommunications (Field Trial by Corrective Services NSW of PMTS Jamming Devices at Lithgow Correctional Centre) Exemption Determination 2015</w:t>
      </w:r>
      <w:r>
        <w:t>. The instrument is due to expire on 1 November 2018. The ACMA will consider whether to extend the arrangements and the terms of such an extension before that time</w:t>
      </w:r>
      <w:r w:rsidR="00E830BA">
        <w:t>.</w:t>
      </w:r>
    </w:p>
    <w:p w14:paraId="5A60C343" w14:textId="77777777" w:rsidR="00266584" w:rsidRDefault="00266584" w:rsidP="00760066">
      <w:pPr>
        <w:pStyle w:val="Heading3"/>
        <w:keepLines/>
      </w:pPr>
      <w:bookmarkStart w:id="450" w:name="_Toc510104985"/>
      <w:bookmarkStart w:id="451" w:name="_Toc510105782"/>
      <w:bookmarkStart w:id="452" w:name="_Toc510795114"/>
      <w:bookmarkStart w:id="453" w:name="_Toc511716317"/>
      <w:bookmarkStart w:id="454" w:name="_Toc511719128"/>
      <w:bookmarkStart w:id="455" w:name="_Toc522794121"/>
      <w:bookmarkStart w:id="456" w:name="_Toc524517132"/>
      <w:r>
        <w:lastRenderedPageBreak/>
        <w:t>Consider changes to VHF marine radio channels and their use</w:t>
      </w:r>
      <w:bookmarkEnd w:id="450"/>
      <w:bookmarkEnd w:id="451"/>
      <w:bookmarkEnd w:id="452"/>
      <w:bookmarkEnd w:id="453"/>
      <w:bookmarkEnd w:id="454"/>
      <w:bookmarkEnd w:id="455"/>
      <w:bookmarkEnd w:id="456"/>
    </w:p>
    <w:p w14:paraId="4D2FCCF0" w14:textId="77777777" w:rsidR="00266584" w:rsidRDefault="00266584" w:rsidP="00760066">
      <w:pPr>
        <w:keepNext/>
        <w:keepLines/>
      </w:pPr>
      <w:r>
        <w:t>Following changes at World Radio Conference 2015, and representations from maritime radio users, in 2018</w:t>
      </w:r>
      <w:r w:rsidR="00B91108">
        <w:t>–</w:t>
      </w:r>
      <w:r>
        <w:t>19</w:t>
      </w:r>
      <w:r w:rsidR="00B91108">
        <w:t>,</w:t>
      </w:r>
      <w:r>
        <w:t xml:space="preserve"> the ACMA will consider changes to the channels specified for maritime radio and the specification of the uses for the channels.</w:t>
      </w:r>
    </w:p>
    <w:p w14:paraId="3DD5E6BC" w14:textId="77777777" w:rsidR="002717D0" w:rsidRDefault="002717D0" w:rsidP="005759E7">
      <w:pPr>
        <w:pStyle w:val="Heading3"/>
      </w:pPr>
      <w:bookmarkStart w:id="457" w:name="_Toc510795115"/>
      <w:bookmarkStart w:id="458" w:name="_Toc511716318"/>
      <w:bookmarkStart w:id="459" w:name="_Toc511719129"/>
      <w:bookmarkStart w:id="460" w:name="_Toc522794122"/>
      <w:bookmarkStart w:id="461" w:name="_Toc524517133"/>
      <w:r>
        <w:t xml:space="preserve">400 MHz </w:t>
      </w:r>
      <w:r w:rsidRPr="00455D60">
        <w:t>band</w:t>
      </w:r>
      <w:bookmarkEnd w:id="457"/>
      <w:bookmarkEnd w:id="458"/>
      <w:bookmarkEnd w:id="459"/>
      <w:bookmarkEnd w:id="460"/>
      <w:bookmarkEnd w:id="461"/>
    </w:p>
    <w:p w14:paraId="52018214" w14:textId="77777777" w:rsidR="00B514B8" w:rsidRDefault="002717D0" w:rsidP="00947F88">
      <w:pPr>
        <w:rPr>
          <w:rFonts w:cs="Arial"/>
          <w:szCs w:val="20"/>
        </w:rPr>
      </w:pPr>
      <w:r>
        <w:t xml:space="preserve">The ACMA is preparing for the final milestone period of the 400 MHz </w:t>
      </w:r>
      <w:r w:rsidR="00B91108">
        <w:t>i</w:t>
      </w:r>
      <w:r>
        <w:t>mplementation project</w:t>
      </w:r>
      <w:r w:rsidR="00B709BF">
        <w:t xml:space="preserve"> during 2019</w:t>
      </w:r>
      <w:r w:rsidR="00B91108">
        <w:t>–</w:t>
      </w:r>
      <w:r w:rsidR="00B709BF">
        <w:t>20</w:t>
      </w:r>
      <w:r>
        <w:rPr>
          <w:color w:val="1F497D"/>
        </w:rPr>
        <w:t>.</w:t>
      </w:r>
      <w:r>
        <w:t xml:space="preserve"> </w:t>
      </w:r>
      <w:r>
        <w:rPr>
          <w:color w:val="1F497D"/>
        </w:rPr>
        <w:t>T</w:t>
      </w:r>
      <w:r>
        <w:t>his will complete the necessary transition of licences to appropriate segments of the 400 MHz band. The ACMA continue</w:t>
      </w:r>
      <w:r w:rsidR="00992F7E">
        <w:t>s</w:t>
      </w:r>
      <w:r>
        <w:t xml:space="preserve"> to work closely with state and territory governments</w:t>
      </w:r>
      <w:r w:rsidR="00B91108">
        <w:t>,</w:t>
      </w:r>
      <w:r>
        <w:t xml:space="preserve"> as well as industry participants and representative organisations that are yet to complete their transition requirements in the 400 MHz band.</w:t>
      </w:r>
    </w:p>
    <w:p w14:paraId="1EE8138E" w14:textId="77777777" w:rsidR="00B96C20" w:rsidRDefault="00B96C20" w:rsidP="005759E7">
      <w:pPr>
        <w:pStyle w:val="Heading3"/>
      </w:pPr>
      <w:bookmarkStart w:id="462" w:name="_Toc510795116"/>
      <w:bookmarkStart w:id="463" w:name="_Toc511716319"/>
      <w:bookmarkStart w:id="464" w:name="_Toc511719130"/>
      <w:bookmarkStart w:id="465" w:name="_Toc522794123"/>
      <w:bookmarkStart w:id="466" w:name="_Toc524517134"/>
      <w:r>
        <w:t xml:space="preserve">Drone </w:t>
      </w:r>
      <w:r w:rsidRPr="00455D60">
        <w:t>regulation</w:t>
      </w:r>
      <w:bookmarkEnd w:id="462"/>
      <w:bookmarkEnd w:id="463"/>
      <w:bookmarkEnd w:id="464"/>
      <w:bookmarkEnd w:id="465"/>
      <w:bookmarkEnd w:id="466"/>
    </w:p>
    <w:p w14:paraId="484303B4" w14:textId="77777777" w:rsidR="00B72DB2" w:rsidRDefault="00B96C20">
      <w:r>
        <w:t>Remotely Piloted Aircraft Systems</w:t>
      </w:r>
      <w:r w:rsidR="00B91108">
        <w:t xml:space="preserve"> (</w:t>
      </w:r>
      <w:r>
        <w:t>also known as Unmanned Aerial Vehicles</w:t>
      </w:r>
      <w:r w:rsidR="00B91108">
        <w:t>),</w:t>
      </w:r>
      <w:r>
        <w:t xml:space="preserve"> commonly known as drones, have become increasingly popular with hobbyists and commercial users. Drones rely on use of radiocommunications for remote piloting and other uses such as video and sensing. The ACMA is currently considering the radiocommunications regulatory framework for the management of drones and drone jamming equipment. </w:t>
      </w:r>
    </w:p>
    <w:p w14:paraId="4DF1F76B" w14:textId="77777777" w:rsidR="00B96C20" w:rsidRDefault="00B96C20" w:rsidP="00FC654E">
      <w:r>
        <w:t>The ACMA has engaged with an inter-departmental contact network</w:t>
      </w:r>
      <w:r w:rsidR="00B91108">
        <w:t>,</w:t>
      </w:r>
      <w:r>
        <w:t xml:space="preserve"> which is considering management of drones from a range of perspectives. During 2018</w:t>
      </w:r>
      <w:r w:rsidR="00B91108">
        <w:t>–</w:t>
      </w:r>
      <w:r>
        <w:t>19, the ACMA expects to review its existing regulatory measures for licensing drones and its legislative prohibitions and exemptions related to drone jamming</w:t>
      </w:r>
      <w:r w:rsidR="00B91108">
        <w:t>,</w:t>
      </w:r>
      <w:r>
        <w:t xml:space="preserve"> to </w:t>
      </w:r>
      <w:r w:rsidR="00B91108">
        <w:t xml:space="preserve">ensure </w:t>
      </w:r>
      <w:r>
        <w:t xml:space="preserve">that regulation remains fit for purpose. The ACMA </w:t>
      </w:r>
      <w:r w:rsidR="00C15BA7">
        <w:t xml:space="preserve">will work </w:t>
      </w:r>
      <w:r>
        <w:t>with drone users and relevant agencies</w:t>
      </w:r>
      <w:r w:rsidR="00C15BA7">
        <w:t>,</w:t>
      </w:r>
      <w:r>
        <w:t xml:space="preserve"> including aviation regulators</w:t>
      </w:r>
      <w:r w:rsidR="00C15BA7">
        <w:t>,</w:t>
      </w:r>
      <w:r>
        <w:t xml:space="preserve"> and law enforcement and security agencies. The ACMA will also continue to monitor international treatment of spectrum management and regulation for drones and drone jammers.</w:t>
      </w:r>
    </w:p>
    <w:p w14:paraId="56AD9458" w14:textId="77777777" w:rsidR="00286D6B" w:rsidRPr="00286D6B" w:rsidRDefault="00286D6B" w:rsidP="005759E7">
      <w:pPr>
        <w:pStyle w:val="Heading1"/>
      </w:pPr>
      <w:bookmarkStart w:id="467" w:name="_Toc510104987"/>
      <w:bookmarkStart w:id="468" w:name="_Toc510105784"/>
      <w:bookmarkStart w:id="469" w:name="_Toc510795118"/>
      <w:bookmarkStart w:id="470" w:name="_Toc511716320"/>
      <w:bookmarkStart w:id="471" w:name="_Toc511719131"/>
      <w:bookmarkStart w:id="472" w:name="_Toc522794124"/>
      <w:bookmarkStart w:id="473" w:name="_Toc524517135"/>
      <w:r w:rsidRPr="00455D60">
        <w:lastRenderedPageBreak/>
        <w:t>Pricing</w:t>
      </w:r>
      <w:bookmarkEnd w:id="467"/>
      <w:bookmarkEnd w:id="468"/>
      <w:bookmarkEnd w:id="469"/>
      <w:bookmarkEnd w:id="470"/>
      <w:bookmarkEnd w:id="471"/>
      <w:bookmarkEnd w:id="472"/>
      <w:bookmarkEnd w:id="473"/>
    </w:p>
    <w:p w14:paraId="5C20D0F4" w14:textId="77777777" w:rsidR="0058733B" w:rsidRPr="005759E7" w:rsidRDefault="0058733B" w:rsidP="005759E7">
      <w:pPr>
        <w:pStyle w:val="Heading2"/>
      </w:pPr>
      <w:bookmarkStart w:id="474" w:name="_Toc510104988"/>
      <w:bookmarkStart w:id="475" w:name="_Toc510105785"/>
      <w:bookmarkStart w:id="476" w:name="_Toc510795119"/>
      <w:bookmarkStart w:id="477" w:name="_Toc511716321"/>
      <w:bookmarkStart w:id="478" w:name="_Toc511719132"/>
      <w:bookmarkStart w:id="479" w:name="_Toc522794125"/>
      <w:bookmarkStart w:id="480" w:name="_Toc524517136"/>
      <w:r w:rsidRPr="005759E7">
        <w:t>Progress achieved</w:t>
      </w:r>
      <w:bookmarkEnd w:id="474"/>
      <w:bookmarkEnd w:id="475"/>
      <w:bookmarkEnd w:id="476"/>
      <w:bookmarkEnd w:id="477"/>
      <w:bookmarkEnd w:id="478"/>
      <w:bookmarkEnd w:id="479"/>
      <w:bookmarkEnd w:id="480"/>
    </w:p>
    <w:p w14:paraId="71FD0A70" w14:textId="77777777" w:rsidR="0058733B" w:rsidRDefault="0058733B" w:rsidP="005759E7">
      <w:pPr>
        <w:pStyle w:val="Heading3"/>
      </w:pPr>
      <w:bookmarkStart w:id="481" w:name="_Toc510104989"/>
      <w:bookmarkStart w:id="482" w:name="_Toc510105786"/>
      <w:bookmarkStart w:id="483" w:name="_Toc510795120"/>
      <w:bookmarkStart w:id="484" w:name="_Toc511716322"/>
      <w:bookmarkStart w:id="485" w:name="_Toc511719133"/>
      <w:bookmarkStart w:id="486" w:name="_Toc522794126"/>
      <w:bookmarkStart w:id="487" w:name="_Toc524517137"/>
      <w:r>
        <w:t>Scientific</w:t>
      </w:r>
      <w:r w:rsidR="00C15BA7">
        <w:t>-</w:t>
      </w:r>
      <w:r w:rsidRPr="00455D60">
        <w:t>assigned</w:t>
      </w:r>
      <w:r>
        <w:t xml:space="preserve"> licences</w:t>
      </w:r>
      <w:bookmarkEnd w:id="481"/>
      <w:bookmarkEnd w:id="482"/>
      <w:bookmarkEnd w:id="483"/>
      <w:bookmarkEnd w:id="484"/>
      <w:bookmarkEnd w:id="485"/>
      <w:bookmarkEnd w:id="486"/>
      <w:bookmarkEnd w:id="487"/>
    </w:p>
    <w:p w14:paraId="138656D0" w14:textId="3C733728" w:rsidR="00286D6B" w:rsidRDefault="00C15BA7" w:rsidP="0077559E">
      <w:r>
        <w:t>Following</w:t>
      </w:r>
      <w:r w:rsidR="0058733B">
        <w:t xml:space="preserve"> </w:t>
      </w:r>
      <w:r>
        <w:t xml:space="preserve">a </w:t>
      </w:r>
      <w:r w:rsidR="00286D6B">
        <w:t>consultation on taxes associated with scientific</w:t>
      </w:r>
      <w:r>
        <w:t>-</w:t>
      </w:r>
      <w:r w:rsidR="00286D6B">
        <w:t>assigned licences</w:t>
      </w:r>
      <w:r>
        <w:t>, i</w:t>
      </w:r>
      <w:r w:rsidR="00286D6B">
        <w:t>n November 2017</w:t>
      </w:r>
      <w:r>
        <w:t>,</w:t>
      </w:r>
      <w:r w:rsidR="00286D6B">
        <w:t xml:space="preserve"> the ACMA </w:t>
      </w:r>
      <w:proofErr w:type="gramStart"/>
      <w:r w:rsidR="00286D6B">
        <w:t>made a decision</w:t>
      </w:r>
      <w:proofErr w:type="gramEnd"/>
      <w:r w:rsidR="00286D6B">
        <w:t xml:space="preserve"> to reduce taxes associated with scientific assigned licences by 90 per cent.</w:t>
      </w:r>
    </w:p>
    <w:p w14:paraId="23BD213C" w14:textId="77777777" w:rsidR="0058733B" w:rsidRDefault="0058733B" w:rsidP="00D2553A">
      <w:pPr>
        <w:pStyle w:val="Heading3"/>
      </w:pPr>
      <w:bookmarkStart w:id="488" w:name="_Toc510104990"/>
      <w:bookmarkStart w:id="489" w:name="_Toc510105787"/>
      <w:bookmarkStart w:id="490" w:name="_Toc510795121"/>
      <w:bookmarkStart w:id="491" w:name="_Toc511716323"/>
      <w:bookmarkStart w:id="492" w:name="_Toc511719134"/>
      <w:bookmarkStart w:id="493" w:name="_Toc522794127"/>
      <w:bookmarkStart w:id="494" w:name="_Toc524517138"/>
      <w:r>
        <w:t>Spectrum licence taxes</w:t>
      </w:r>
      <w:bookmarkEnd w:id="488"/>
      <w:bookmarkEnd w:id="489"/>
      <w:bookmarkEnd w:id="490"/>
      <w:bookmarkEnd w:id="491"/>
      <w:bookmarkEnd w:id="492"/>
      <w:bookmarkEnd w:id="493"/>
      <w:bookmarkEnd w:id="494"/>
    </w:p>
    <w:p w14:paraId="29B0D310" w14:textId="77777777" w:rsidR="0058733B" w:rsidRDefault="00776AB0" w:rsidP="0077559E">
      <w:r>
        <w:t xml:space="preserve">In </w:t>
      </w:r>
      <w:r w:rsidR="00362799">
        <w:t>the second half of</w:t>
      </w:r>
      <w:r>
        <w:t xml:space="preserve"> 2017</w:t>
      </w:r>
      <w:r w:rsidR="00844848">
        <w:t>–</w:t>
      </w:r>
      <w:r>
        <w:t>18</w:t>
      </w:r>
      <w:r w:rsidR="00844848">
        <w:t>,</w:t>
      </w:r>
      <w:r>
        <w:t xml:space="preserve"> t</w:t>
      </w:r>
      <w:r w:rsidR="00286D6B">
        <w:t xml:space="preserve">he ACMA </w:t>
      </w:r>
      <w:r>
        <w:t>conducted separate consultation process</w:t>
      </w:r>
      <w:r w:rsidR="00362799">
        <w:t>es</w:t>
      </w:r>
      <w:r w:rsidR="00286D6B">
        <w:t xml:space="preserve"> on changes to spectrum licence taxes</w:t>
      </w:r>
      <w:r w:rsidR="005A09C8">
        <w:t>. In March 2018</w:t>
      </w:r>
      <w:r w:rsidR="00844848">
        <w:t>,</w:t>
      </w:r>
      <w:r w:rsidR="005A09C8">
        <w:t xml:space="preserve"> the ACMA consulted on proposals</w:t>
      </w:r>
      <w:r w:rsidR="00286D6B">
        <w:t xml:space="preserve"> to account for changes in the indirect cost of spectrum management and census data</w:t>
      </w:r>
      <w:r>
        <w:t xml:space="preserve"> for existing spectrum licensed band</w:t>
      </w:r>
      <w:r w:rsidR="00361F9B">
        <w:t>s</w:t>
      </w:r>
      <w:r w:rsidR="005A09C8">
        <w:t>. In May 2018</w:t>
      </w:r>
      <w:r w:rsidR="00844848">
        <w:t>,</w:t>
      </w:r>
      <w:r w:rsidR="005A09C8">
        <w:t xml:space="preserve"> the ACMA consulted on the proposal for spectrum licence taxes</w:t>
      </w:r>
      <w:r>
        <w:t xml:space="preserve"> for the 3.6 </w:t>
      </w:r>
      <w:r w:rsidR="004959E5">
        <w:t>GHz</w:t>
      </w:r>
      <w:r w:rsidR="004959E5" w:rsidRPr="00493B5D">
        <w:t xml:space="preserve"> </w:t>
      </w:r>
      <w:r>
        <w:t>band</w:t>
      </w:r>
      <w:r w:rsidR="00286D6B">
        <w:t xml:space="preserve">. </w:t>
      </w:r>
      <w:r w:rsidR="00362799">
        <w:t>In June 2018 and July 2018</w:t>
      </w:r>
      <w:r w:rsidR="00844848">
        <w:t>,</w:t>
      </w:r>
      <w:r w:rsidR="00362799">
        <w:t xml:space="preserve"> the ACMA made those </w:t>
      </w:r>
      <w:r w:rsidR="005A09C8">
        <w:t>respective</w:t>
      </w:r>
      <w:r w:rsidR="00362799">
        <w:t xml:space="preserve"> changes to spectrum licence taxes.</w:t>
      </w:r>
      <w:r w:rsidR="00362799" w:rsidDel="00362799">
        <w:t xml:space="preserve"> </w:t>
      </w:r>
    </w:p>
    <w:p w14:paraId="7F9DE599" w14:textId="77777777" w:rsidR="0058733B" w:rsidRDefault="0058733B" w:rsidP="00C51923">
      <w:pPr>
        <w:pStyle w:val="Heading3"/>
      </w:pPr>
      <w:bookmarkStart w:id="495" w:name="_Toc510104991"/>
      <w:bookmarkStart w:id="496" w:name="_Toc510105788"/>
      <w:bookmarkStart w:id="497" w:name="_Toc510795122"/>
      <w:bookmarkStart w:id="498" w:name="_Toc511716324"/>
      <w:bookmarkStart w:id="499" w:name="_Toc511719135"/>
      <w:bookmarkStart w:id="500" w:name="_Toc522794128"/>
      <w:bookmarkStart w:id="501" w:name="_Toc524517139"/>
      <w:r w:rsidRPr="00844848">
        <w:t>Apparatus</w:t>
      </w:r>
      <w:r>
        <w:t xml:space="preserve"> licence taxes</w:t>
      </w:r>
      <w:bookmarkEnd w:id="495"/>
      <w:bookmarkEnd w:id="496"/>
      <w:bookmarkEnd w:id="497"/>
      <w:bookmarkEnd w:id="498"/>
      <w:bookmarkEnd w:id="499"/>
      <w:bookmarkEnd w:id="500"/>
      <w:bookmarkEnd w:id="501"/>
    </w:p>
    <w:p w14:paraId="677E2826" w14:textId="77777777" w:rsidR="00286D6B" w:rsidRDefault="00286D6B" w:rsidP="0077559E">
      <w:r>
        <w:t>Adjustments</w:t>
      </w:r>
      <w:r w:rsidR="0058733B">
        <w:t xml:space="preserve"> were</w:t>
      </w:r>
      <w:r>
        <w:t xml:space="preserve"> made to apparatus licence taxes to account for changes in census data and inflation</w:t>
      </w:r>
      <w:r w:rsidR="00C15BA7">
        <w:t>,</w:t>
      </w:r>
      <w:r>
        <w:t xml:space="preserve"> and </w:t>
      </w:r>
      <w:r w:rsidR="0058733B">
        <w:t xml:space="preserve">to </w:t>
      </w:r>
      <w:r>
        <w:t xml:space="preserve">clarify the application of taxes for PMTS Class B services in </w:t>
      </w:r>
      <w:r w:rsidR="00C15BA7">
        <w:t>e</w:t>
      </w:r>
      <w:r>
        <w:t xml:space="preserve">xternal </w:t>
      </w:r>
      <w:r w:rsidR="00C15BA7">
        <w:t>t</w:t>
      </w:r>
      <w:r>
        <w:t>erritories</w:t>
      </w:r>
      <w:r w:rsidR="0058733B">
        <w:t xml:space="preserve">. </w:t>
      </w:r>
      <w:r>
        <w:t xml:space="preserve">The adjustments came into effect </w:t>
      </w:r>
      <w:r w:rsidR="00C15BA7">
        <w:t>in</w:t>
      </w:r>
      <w:r>
        <w:t xml:space="preserve"> April 2018.</w:t>
      </w:r>
    </w:p>
    <w:p w14:paraId="6DD72686" w14:textId="77777777" w:rsidR="002E0DAD" w:rsidRDefault="002E0DAD" w:rsidP="00CA45D7">
      <w:pPr>
        <w:pStyle w:val="Heading3"/>
        <w:keepNext w:val="0"/>
      </w:pPr>
      <w:bookmarkStart w:id="502" w:name="_Toc510104992"/>
      <w:bookmarkStart w:id="503" w:name="_Toc510105789"/>
      <w:bookmarkStart w:id="504" w:name="_Toc510795123"/>
      <w:bookmarkStart w:id="505" w:name="_Toc511716325"/>
      <w:bookmarkStart w:id="506" w:name="_Toc511719136"/>
      <w:bookmarkStart w:id="507" w:name="_Toc522794129"/>
      <w:bookmarkStart w:id="508" w:name="_Toc524517140"/>
      <w:r>
        <w:t>400 MHz monitoring framework and opportunity</w:t>
      </w:r>
      <w:r w:rsidR="00C15BA7">
        <w:t>-</w:t>
      </w:r>
      <w:r>
        <w:t>cost pricing</w:t>
      </w:r>
      <w:bookmarkEnd w:id="502"/>
      <w:bookmarkEnd w:id="503"/>
      <w:bookmarkEnd w:id="504"/>
      <w:bookmarkEnd w:id="505"/>
      <w:bookmarkEnd w:id="506"/>
      <w:bookmarkEnd w:id="507"/>
      <w:bookmarkEnd w:id="508"/>
    </w:p>
    <w:p w14:paraId="71EDD205" w14:textId="77777777" w:rsidR="00A72CCF" w:rsidRDefault="001C0F1C" w:rsidP="0077559E">
      <w:r w:rsidRPr="00F342D2">
        <w:t xml:space="preserve">After releasing a consultation paper in November 2016 on </w:t>
      </w:r>
      <w:r w:rsidR="006E5115" w:rsidRPr="00C51923">
        <w:t>opportunity</w:t>
      </w:r>
      <w:r w:rsidR="00C15BA7" w:rsidRPr="00C51923">
        <w:t>-</w:t>
      </w:r>
      <w:r w:rsidR="006E5115" w:rsidRPr="00C51923">
        <w:t>cost pricing</w:t>
      </w:r>
      <w:r w:rsidR="006E5115">
        <w:t xml:space="preserve"> </w:t>
      </w:r>
      <w:r w:rsidRPr="00F342D2">
        <w:t xml:space="preserve">in the 400 MHz band, </w:t>
      </w:r>
      <w:r w:rsidR="00A72CCF">
        <w:t>the</w:t>
      </w:r>
      <w:r w:rsidRPr="00F342D2">
        <w:t xml:space="preserve"> ACMA has reviewed the monitoring framework for the </w:t>
      </w:r>
      <w:r w:rsidR="00C15BA7" w:rsidRPr="00F342D2">
        <w:t>400</w:t>
      </w:r>
      <w:r w:rsidR="00C15BA7">
        <w:t> </w:t>
      </w:r>
      <w:r w:rsidRPr="00F342D2">
        <w:t xml:space="preserve">MHz band. The updated monitoring analysis indicates that demand </w:t>
      </w:r>
      <w:r w:rsidR="009171B9">
        <w:t xml:space="preserve">growth </w:t>
      </w:r>
      <w:r w:rsidRPr="00F342D2">
        <w:t>has not been as strong as previously thought, in part reflecting a shift to the use of low</w:t>
      </w:r>
      <w:r w:rsidR="00C15BA7">
        <w:t>-</w:t>
      </w:r>
      <w:r w:rsidRPr="00F342D2">
        <w:t>power devices by licensees. Given this, a planned third increase to licence tax rates is not currently justified</w:t>
      </w:r>
      <w:r w:rsidR="00D93CDF">
        <w:t xml:space="preserve"> and will not be implemented.</w:t>
      </w:r>
    </w:p>
    <w:p w14:paraId="4B9F0705" w14:textId="77777777" w:rsidR="00B514B8" w:rsidRDefault="001C0F1C" w:rsidP="00585FB9">
      <w:pPr>
        <w:rPr>
          <w:szCs w:val="20"/>
        </w:rPr>
      </w:pPr>
      <w:r w:rsidRPr="00F342D2">
        <w:t xml:space="preserve">The demand monitoring framework has been updated and a </w:t>
      </w:r>
      <w:r w:rsidR="001D5AFF">
        <w:t>r</w:t>
      </w:r>
      <w:r w:rsidRPr="00F342D2">
        <w:t xml:space="preserve">esponse </w:t>
      </w:r>
      <w:r w:rsidR="001D5AFF">
        <w:t>p</w:t>
      </w:r>
      <w:r w:rsidRPr="00F342D2">
        <w:t xml:space="preserve">aper was published in </w:t>
      </w:r>
      <w:r>
        <w:t>Q3 2017</w:t>
      </w:r>
      <w:r w:rsidR="00C15BA7">
        <w:t>–</w:t>
      </w:r>
      <w:r>
        <w:t>18.</w:t>
      </w:r>
      <w:r w:rsidR="0056373A">
        <w:t xml:space="preserve"> </w:t>
      </w:r>
      <w:r w:rsidRPr="00F342D2">
        <w:t xml:space="preserve">Monitoring will continue on a semi-regular basis and increases can be re-instated if demand accelerates. </w:t>
      </w:r>
    </w:p>
    <w:p w14:paraId="2EDD38BD" w14:textId="77777777" w:rsidR="00286D6B" w:rsidRPr="005759E7" w:rsidRDefault="002E0DAD" w:rsidP="005759E7">
      <w:pPr>
        <w:pStyle w:val="Heading2"/>
      </w:pPr>
      <w:bookmarkStart w:id="509" w:name="_Toc522794130"/>
      <w:bookmarkStart w:id="510" w:name="_Toc524517141"/>
      <w:bookmarkStart w:id="511" w:name="_Toc510104993"/>
      <w:bookmarkStart w:id="512" w:name="_Toc510105790"/>
      <w:bookmarkStart w:id="513" w:name="_Toc510795124"/>
      <w:bookmarkStart w:id="514" w:name="_Toc511716326"/>
      <w:bookmarkStart w:id="515" w:name="_Toc511719137"/>
      <w:r w:rsidRPr="005759E7">
        <w:t xml:space="preserve">New/ongoing activities planned for </w:t>
      </w:r>
      <w:r w:rsidR="00C15BA7">
        <w:t>20</w:t>
      </w:r>
      <w:r w:rsidRPr="005759E7">
        <w:t>18</w:t>
      </w:r>
      <w:r w:rsidR="00C15BA7">
        <w:t>–</w:t>
      </w:r>
      <w:r w:rsidRPr="005759E7">
        <w:t>19</w:t>
      </w:r>
      <w:bookmarkEnd w:id="509"/>
      <w:bookmarkEnd w:id="510"/>
      <w:r w:rsidRPr="005759E7">
        <w:t xml:space="preserve"> </w:t>
      </w:r>
      <w:bookmarkEnd w:id="511"/>
      <w:bookmarkEnd w:id="512"/>
      <w:bookmarkEnd w:id="513"/>
      <w:bookmarkEnd w:id="514"/>
      <w:bookmarkEnd w:id="515"/>
    </w:p>
    <w:p w14:paraId="77D6700A" w14:textId="77777777" w:rsidR="00F342D2" w:rsidRDefault="000D6B90">
      <w:r>
        <w:t xml:space="preserve">The ACMA is implementing </w:t>
      </w:r>
      <w:r w:rsidR="00286D6B">
        <w:t xml:space="preserve">new tax arrangements </w:t>
      </w:r>
      <w:r w:rsidR="00624F54">
        <w:t xml:space="preserve">for apparatus licences </w:t>
      </w:r>
      <w:r w:rsidR="00286D6B">
        <w:t xml:space="preserve">associated with </w:t>
      </w:r>
      <w:r w:rsidR="00624F54">
        <w:t xml:space="preserve">the transmitters used by commercial radio and television </w:t>
      </w:r>
      <w:r w:rsidR="00286D6B">
        <w:t>broadcasters</w:t>
      </w:r>
      <w:r w:rsidR="00624F54">
        <w:t xml:space="preserve"> in the Broadcasting Services Bands. The changes </w:t>
      </w:r>
      <w:r>
        <w:t xml:space="preserve">result from the media reform package </w:t>
      </w:r>
      <w:r w:rsidR="001556CE">
        <w:t xml:space="preserve">passed by Parliament </w:t>
      </w:r>
      <w:r>
        <w:t>in 2017</w:t>
      </w:r>
      <w:r w:rsidR="00286D6B">
        <w:t>.</w:t>
      </w:r>
      <w:r w:rsidR="00C95B03">
        <w:t xml:space="preserve"> </w:t>
      </w:r>
      <w:r w:rsidR="00F342D2" w:rsidRPr="00F342D2">
        <w:t xml:space="preserve">The </w:t>
      </w:r>
      <w:r w:rsidR="0094669F">
        <w:t xml:space="preserve">ACMA is in the process of assessing taxes and will continue this </w:t>
      </w:r>
      <w:r w:rsidR="00362799">
        <w:t xml:space="preserve">on an on-going basis as apparatus licences associated with a commercial broadcast service passes </w:t>
      </w:r>
      <w:r w:rsidR="005A09C8">
        <w:t>their</w:t>
      </w:r>
      <w:r w:rsidR="00362799">
        <w:t xml:space="preserve"> anniversary date</w:t>
      </w:r>
      <w:r w:rsidR="005A09C8">
        <w:t>s</w:t>
      </w:r>
      <w:r w:rsidR="00F342D2" w:rsidRPr="00F342D2">
        <w:t>.</w:t>
      </w:r>
    </w:p>
    <w:p w14:paraId="7895377A" w14:textId="77777777" w:rsidR="00F342D2" w:rsidRDefault="00F342D2">
      <w:r>
        <w:t xml:space="preserve">After 30 June 2019, the ACMA must conduct a review of the </w:t>
      </w:r>
      <w:r w:rsidRPr="005759E7">
        <w:rPr>
          <w:i/>
        </w:rPr>
        <w:t>Commercial Broadcasting (Tax) Act 2017.</w:t>
      </w:r>
      <w:r>
        <w:t xml:space="preserve"> In 2018</w:t>
      </w:r>
      <w:r w:rsidR="00C15BA7">
        <w:t>–</w:t>
      </w:r>
      <w:r>
        <w:t>19</w:t>
      </w:r>
      <w:r w:rsidR="00C15BA7">
        <w:t xml:space="preserve">, </w:t>
      </w:r>
      <w:r>
        <w:t xml:space="preserve">the ACMA may make announcements about any preparation it is undertaking </w:t>
      </w:r>
      <w:r w:rsidR="00C15BA7">
        <w:t xml:space="preserve">for </w:t>
      </w:r>
      <w:r>
        <w:t>the review.</w:t>
      </w:r>
      <w:r w:rsidR="00362799">
        <w:t xml:space="preserve"> </w:t>
      </w:r>
    </w:p>
    <w:p w14:paraId="0F7E294D" w14:textId="77777777" w:rsidR="00BA34A4" w:rsidRPr="00F342D2" w:rsidRDefault="00BA34A4" w:rsidP="00BA34A4">
      <w:r w:rsidRPr="00F342D2">
        <w:t xml:space="preserve">Monitoring </w:t>
      </w:r>
      <w:r>
        <w:t xml:space="preserve">of demand in the 400 MHz band </w:t>
      </w:r>
      <w:r w:rsidRPr="00F342D2">
        <w:t xml:space="preserve">will continue on a semi-regular basis and increases can be re-instated if demand accelerates. </w:t>
      </w:r>
    </w:p>
    <w:p w14:paraId="76032AB0" w14:textId="77777777" w:rsidR="00BA34A4" w:rsidRDefault="00BA34A4" w:rsidP="00BA34A4">
      <w:pPr>
        <w:rPr>
          <w:szCs w:val="20"/>
        </w:rPr>
      </w:pPr>
      <w:r>
        <w:t>Feedback to the draft 2018</w:t>
      </w:r>
      <w:r w:rsidR="00844848">
        <w:t>–</w:t>
      </w:r>
      <w:r>
        <w:t>22 FYSO related to a number of potential changes to apparatus licence taxes and the flagging of information about reviews in the FYSO. A</w:t>
      </w:r>
      <w:r w:rsidRPr="00FC654E">
        <w:t xml:space="preserve"> number of submissions suggested that the ACMA should review spectrum pricing for particular services (such as satellite services in </w:t>
      </w:r>
      <w:r>
        <w:rPr>
          <w:szCs w:val="20"/>
        </w:rPr>
        <w:t xml:space="preserve">Ka- and </w:t>
      </w:r>
      <w:r w:rsidRPr="00FC654E">
        <w:rPr>
          <w:szCs w:val="20"/>
        </w:rPr>
        <w:t>Ku</w:t>
      </w:r>
      <w:r>
        <w:rPr>
          <w:szCs w:val="20"/>
        </w:rPr>
        <w:t>-</w:t>
      </w:r>
      <w:r w:rsidRPr="00FC654E">
        <w:rPr>
          <w:szCs w:val="20"/>
        </w:rPr>
        <w:t>band</w:t>
      </w:r>
      <w:r>
        <w:rPr>
          <w:szCs w:val="20"/>
        </w:rPr>
        <w:t>s</w:t>
      </w:r>
      <w:r w:rsidRPr="00FC654E">
        <w:rPr>
          <w:szCs w:val="20"/>
        </w:rPr>
        <w:t>, HPON services</w:t>
      </w:r>
      <w:r>
        <w:rPr>
          <w:szCs w:val="20"/>
        </w:rPr>
        <w:t xml:space="preserve"> and scientific licensing for 5G services</w:t>
      </w:r>
      <w:r w:rsidRPr="00FC654E">
        <w:rPr>
          <w:szCs w:val="20"/>
        </w:rPr>
        <w:t xml:space="preserve">). The ACMA anticipates that the general pricing </w:t>
      </w:r>
      <w:r w:rsidRPr="00FC654E">
        <w:rPr>
          <w:szCs w:val="20"/>
        </w:rPr>
        <w:lastRenderedPageBreak/>
        <w:t xml:space="preserve">review </w:t>
      </w:r>
      <w:r>
        <w:rPr>
          <w:szCs w:val="20"/>
        </w:rPr>
        <w:t>flowing from</w:t>
      </w:r>
      <w:r w:rsidRPr="00FC654E">
        <w:rPr>
          <w:szCs w:val="20"/>
        </w:rPr>
        <w:t xml:space="preserve"> recommendation 7 of the Spectrum Pricing Review will address pricing adjustments required across a number of industries and spectrum bands.</w:t>
      </w:r>
      <w:r>
        <w:rPr>
          <w:szCs w:val="20"/>
        </w:rPr>
        <w:t xml:space="preserve"> </w:t>
      </w:r>
    </w:p>
    <w:p w14:paraId="72899938" w14:textId="77777777" w:rsidR="00D3495C" w:rsidRPr="00D3495C" w:rsidRDefault="00E41300">
      <w:r w:rsidRPr="0056373A">
        <w:t xml:space="preserve">The ACMA will continue to make changes to the apparatus licence tax regime to account for matters </w:t>
      </w:r>
      <w:r>
        <w:t>including</w:t>
      </w:r>
      <w:r w:rsidRPr="0056373A">
        <w:t xml:space="preserve"> adjusting taxes for inflation.</w:t>
      </w:r>
    </w:p>
    <w:p w14:paraId="23C80024" w14:textId="77777777" w:rsidR="00286D6B" w:rsidRDefault="00286D6B" w:rsidP="005759E7">
      <w:pPr>
        <w:pStyle w:val="Heading1"/>
      </w:pPr>
      <w:bookmarkStart w:id="516" w:name="_Toc510104994"/>
      <w:bookmarkStart w:id="517" w:name="_Toc510105791"/>
      <w:bookmarkStart w:id="518" w:name="_Toc510795125"/>
      <w:bookmarkStart w:id="519" w:name="_Toc511716327"/>
      <w:bookmarkStart w:id="520" w:name="_Toc511719138"/>
      <w:bookmarkStart w:id="521" w:name="_Toc522794131"/>
      <w:bookmarkStart w:id="522" w:name="_Toc524517142"/>
      <w:r>
        <w:lastRenderedPageBreak/>
        <w:t>Compliance and enforcement</w:t>
      </w:r>
      <w:bookmarkEnd w:id="516"/>
      <w:bookmarkEnd w:id="517"/>
      <w:bookmarkEnd w:id="518"/>
      <w:bookmarkEnd w:id="519"/>
      <w:bookmarkEnd w:id="520"/>
      <w:bookmarkEnd w:id="521"/>
      <w:bookmarkEnd w:id="522"/>
    </w:p>
    <w:p w14:paraId="4ABA363A" w14:textId="77777777" w:rsidR="001F307F" w:rsidRPr="005759E7" w:rsidRDefault="001F307F" w:rsidP="005759E7">
      <w:pPr>
        <w:pStyle w:val="Heading2"/>
      </w:pPr>
      <w:bookmarkStart w:id="523" w:name="_Toc511716328"/>
      <w:bookmarkStart w:id="524" w:name="_Toc511719139"/>
      <w:bookmarkStart w:id="525" w:name="_Toc522794132"/>
      <w:bookmarkStart w:id="526" w:name="_Toc524517143"/>
      <w:bookmarkStart w:id="527" w:name="_Toc510104995"/>
      <w:bookmarkStart w:id="528" w:name="_Toc510105792"/>
      <w:bookmarkStart w:id="529" w:name="_Toc510795126"/>
      <w:r w:rsidRPr="005759E7">
        <w:t xml:space="preserve">Priority </w:t>
      </w:r>
      <w:r w:rsidR="00844848">
        <w:t>c</w:t>
      </w:r>
      <w:r w:rsidRPr="005759E7">
        <w:t xml:space="preserve">ompliance </w:t>
      </w:r>
      <w:r w:rsidR="00844848">
        <w:t>a</w:t>
      </w:r>
      <w:r w:rsidRPr="005759E7">
        <w:t>reas</w:t>
      </w:r>
      <w:bookmarkEnd w:id="523"/>
      <w:bookmarkEnd w:id="524"/>
      <w:bookmarkEnd w:id="525"/>
      <w:bookmarkEnd w:id="526"/>
    </w:p>
    <w:p w14:paraId="64BF1E0B" w14:textId="77777777" w:rsidR="001F307F" w:rsidRDefault="001F307F" w:rsidP="00E63BF5">
      <w:r w:rsidRPr="001F307F">
        <w:t xml:space="preserve">The ACMA’s </w:t>
      </w:r>
      <w:r w:rsidR="00844848">
        <w:t>p</w:t>
      </w:r>
      <w:r w:rsidRPr="001F307F">
        <w:t xml:space="preserve">riority </w:t>
      </w:r>
      <w:r w:rsidR="00844848">
        <w:t>c</w:t>
      </w:r>
      <w:r w:rsidRPr="001F307F">
        <w:t xml:space="preserve">ompliance </w:t>
      </w:r>
      <w:r w:rsidR="00844848">
        <w:t>a</w:t>
      </w:r>
      <w:r w:rsidRPr="001F307F">
        <w:t xml:space="preserve">rea (PCA) program </w:t>
      </w:r>
      <w:r w:rsidRPr="00E87F7D">
        <w:t>commenced in 2012</w:t>
      </w:r>
      <w:r w:rsidR="006A26C9">
        <w:t>–</w:t>
      </w:r>
      <w:r w:rsidRPr="00E87F7D">
        <w:t xml:space="preserve">13 and is now an integral part of </w:t>
      </w:r>
      <w:r>
        <w:t>our</w:t>
      </w:r>
      <w:r w:rsidRPr="00E87F7D">
        <w:t xml:space="preserve"> approach to compliance and enforcement. Centred on a risk-based methodology, this program aims to systematically identify and address high</w:t>
      </w:r>
      <w:r w:rsidR="006A26C9">
        <w:t>-</w:t>
      </w:r>
      <w:r w:rsidRPr="00E87F7D">
        <w:t>risk compliance issues</w:t>
      </w:r>
      <w:r w:rsidR="00545E0B">
        <w:t xml:space="preserve"> by</w:t>
      </w:r>
      <w:r w:rsidRPr="00E87F7D">
        <w:t xml:space="preserve"> </w:t>
      </w:r>
      <w:r w:rsidR="00545E0B" w:rsidRPr="00E87F7D">
        <w:t>maximis</w:t>
      </w:r>
      <w:r w:rsidR="00545E0B">
        <w:t>ing</w:t>
      </w:r>
      <w:r w:rsidR="00545E0B" w:rsidRPr="00E87F7D">
        <w:t xml:space="preserve"> </w:t>
      </w:r>
      <w:r w:rsidRPr="00E87F7D">
        <w:t>the regulatory reach of the ACMA in a strategic and resource</w:t>
      </w:r>
      <w:r w:rsidR="00545E0B">
        <w:t>-</w:t>
      </w:r>
      <w:r w:rsidRPr="00E87F7D">
        <w:t xml:space="preserve">efficient manner. PCAs focus on the risks of harmful interference, risks to spectrum utility, and risks to public safety or compliance activities that are in the public interest. </w:t>
      </w:r>
    </w:p>
    <w:p w14:paraId="12F07712" w14:textId="77777777" w:rsidR="001F307F" w:rsidRDefault="001F307F" w:rsidP="005759E7">
      <w:pPr>
        <w:spacing w:after="80"/>
      </w:pPr>
      <w:r>
        <w:t>PCAs are set annually. In 2017</w:t>
      </w:r>
      <w:r w:rsidR="006A26C9">
        <w:t>–</w:t>
      </w:r>
      <w:r>
        <w:t>18, the ACMA PCA programs focused on:</w:t>
      </w:r>
    </w:p>
    <w:p w14:paraId="2E14B6AC" w14:textId="77777777" w:rsidR="001F307F" w:rsidRDefault="00844848" w:rsidP="005759E7">
      <w:pPr>
        <w:pStyle w:val="ListBullet"/>
      </w:pPr>
      <w:r>
        <w:t xml:space="preserve">Gold Coast 2018 </w:t>
      </w:r>
      <w:r w:rsidR="001F307F" w:rsidRPr="00455D60">
        <w:t>Commonwealth</w:t>
      </w:r>
      <w:r w:rsidR="001F307F">
        <w:t xml:space="preserve"> Games </w:t>
      </w:r>
      <w:r w:rsidR="006A26C9">
        <w:t>p</w:t>
      </w:r>
      <w:r w:rsidR="001F307F">
        <w:t>reparation</w:t>
      </w:r>
      <w:r w:rsidR="006A26C9">
        <w:t>—</w:t>
      </w:r>
      <w:r w:rsidR="001F307F">
        <w:t>compliance program</w:t>
      </w:r>
    </w:p>
    <w:p w14:paraId="6BB0A2BF" w14:textId="77777777" w:rsidR="001F307F" w:rsidRDefault="006A26C9" w:rsidP="005759E7">
      <w:pPr>
        <w:pStyle w:val="ListBulletLast"/>
      </w:pPr>
      <w:r>
        <w:t>m</w:t>
      </w:r>
      <w:r w:rsidR="001F307F">
        <w:t>obile handset compliance</w:t>
      </w:r>
      <w:r>
        <w:t>.</w:t>
      </w:r>
    </w:p>
    <w:p w14:paraId="7260776A" w14:textId="77777777" w:rsidR="003A4CBB" w:rsidRDefault="003A4CBB" w:rsidP="001D3119">
      <w:r>
        <w:t>In April 2017</w:t>
      </w:r>
      <w:r w:rsidR="006A26C9">
        <w:t>,</w:t>
      </w:r>
      <w:r>
        <w:t xml:space="preserve"> the ACMA consulted with industry through tune-ups held in Sydney and Melbourne on draft </w:t>
      </w:r>
      <w:r w:rsidR="006A26C9">
        <w:t>PCAs</w:t>
      </w:r>
      <w:r>
        <w:t xml:space="preserve"> for 2018</w:t>
      </w:r>
      <w:r w:rsidR="006A26C9">
        <w:t>–</w:t>
      </w:r>
      <w:r>
        <w:t>19.</w:t>
      </w:r>
    </w:p>
    <w:p w14:paraId="79D20B6D" w14:textId="77777777" w:rsidR="006B6F6E" w:rsidRPr="005759E7" w:rsidRDefault="007A7B25" w:rsidP="005759E7">
      <w:pPr>
        <w:pStyle w:val="Heading2"/>
      </w:pPr>
      <w:bookmarkStart w:id="530" w:name="_Toc511716329"/>
      <w:bookmarkStart w:id="531" w:name="_Toc511719140"/>
      <w:bookmarkStart w:id="532" w:name="_Toc522794133"/>
      <w:bookmarkStart w:id="533" w:name="_Toc524517144"/>
      <w:r w:rsidRPr="005759E7">
        <w:t>Progress achieved</w:t>
      </w:r>
      <w:bookmarkEnd w:id="527"/>
      <w:bookmarkEnd w:id="528"/>
      <w:bookmarkEnd w:id="529"/>
      <w:bookmarkEnd w:id="530"/>
      <w:bookmarkEnd w:id="531"/>
      <w:bookmarkEnd w:id="532"/>
      <w:bookmarkEnd w:id="533"/>
    </w:p>
    <w:p w14:paraId="0A0D406C" w14:textId="77777777" w:rsidR="004651B1" w:rsidRPr="00FC654E" w:rsidRDefault="00844848" w:rsidP="00947F88">
      <w:pPr>
        <w:pStyle w:val="Heading3"/>
        <w:keepNext w:val="0"/>
        <w:rPr>
          <w:color w:val="000000" w:themeColor="text1"/>
        </w:rPr>
      </w:pPr>
      <w:bookmarkStart w:id="534" w:name="_Toc510104996"/>
      <w:bookmarkStart w:id="535" w:name="_Toc510105793"/>
      <w:bookmarkStart w:id="536" w:name="_Toc510795127"/>
      <w:bookmarkStart w:id="537" w:name="_Toc511716330"/>
      <w:bookmarkStart w:id="538" w:name="_Toc511719141"/>
      <w:bookmarkStart w:id="539" w:name="_Toc522794134"/>
      <w:bookmarkStart w:id="540" w:name="_Toc524517145"/>
      <w:r>
        <w:t xml:space="preserve">Gold Coast 2018 </w:t>
      </w:r>
      <w:r w:rsidR="004651B1" w:rsidRPr="00FC654E">
        <w:t xml:space="preserve">Commonwealth Games </w:t>
      </w:r>
      <w:r w:rsidR="006A26C9">
        <w:t>p</w:t>
      </w:r>
      <w:r w:rsidR="004651B1" w:rsidRPr="00FC654E">
        <w:t>reparation</w:t>
      </w:r>
      <w:r w:rsidR="006A26C9">
        <w:t>—</w:t>
      </w:r>
      <w:r w:rsidR="004651B1" w:rsidRPr="00FC654E">
        <w:t>compliance program</w:t>
      </w:r>
      <w:bookmarkEnd w:id="534"/>
      <w:bookmarkEnd w:id="535"/>
      <w:bookmarkEnd w:id="536"/>
      <w:bookmarkEnd w:id="537"/>
      <w:bookmarkEnd w:id="538"/>
      <w:bookmarkEnd w:id="539"/>
      <w:bookmarkEnd w:id="540"/>
      <w:r w:rsidR="004651B1" w:rsidRPr="00FC654E">
        <w:rPr>
          <w:color w:val="000000" w:themeColor="text1"/>
        </w:rPr>
        <w:t xml:space="preserve"> </w:t>
      </w:r>
    </w:p>
    <w:p w14:paraId="396D3166" w14:textId="77777777" w:rsidR="004651B1" w:rsidRDefault="00D3495C" w:rsidP="0077559E">
      <w:r w:rsidRPr="00D3495C">
        <w:t>The ACMA completed the set up and testing of an extensive monitoring network inside the main stadiums</w:t>
      </w:r>
      <w:r w:rsidR="006A26C9">
        <w:t>,</w:t>
      </w:r>
      <w:r w:rsidRPr="00D3495C">
        <w:t xml:space="preserve"> as well as a wide area network located on the Gold Coast.</w:t>
      </w:r>
    </w:p>
    <w:p w14:paraId="2D0CD871" w14:textId="77777777" w:rsidR="004651B1" w:rsidRDefault="004651B1" w:rsidP="0077559E">
      <w:pPr>
        <w:rPr>
          <w:color w:val="000000" w:themeColor="text1"/>
        </w:rPr>
      </w:pPr>
      <w:r w:rsidRPr="00FC654E">
        <w:rPr>
          <w:color w:val="000000" w:themeColor="text1"/>
        </w:rPr>
        <w:t xml:space="preserve">The ACMA conducted work on the Gold Coast </w:t>
      </w:r>
      <w:r w:rsidR="00127B59">
        <w:rPr>
          <w:color w:val="000000" w:themeColor="text1"/>
        </w:rPr>
        <w:t xml:space="preserve">and in </w:t>
      </w:r>
      <w:r w:rsidRPr="00FC654E">
        <w:rPr>
          <w:color w:val="000000" w:themeColor="text1"/>
        </w:rPr>
        <w:t xml:space="preserve">Brisbane, Townsville and Cairns between August 2017 and March 2018. The compliance program focused on the interference risks associated with the operation of unlicensed, non-standard hand held two-way radios in </w:t>
      </w:r>
      <w:r w:rsidR="00127B59">
        <w:rPr>
          <w:color w:val="000000" w:themeColor="text1"/>
        </w:rPr>
        <w:t xml:space="preserve">the </w:t>
      </w:r>
      <w:r w:rsidRPr="00FC654E">
        <w:rPr>
          <w:color w:val="000000" w:themeColor="text1"/>
        </w:rPr>
        <w:t>400</w:t>
      </w:r>
      <w:r w:rsidR="00D038FC">
        <w:rPr>
          <w:color w:val="000000" w:themeColor="text1"/>
        </w:rPr>
        <w:t xml:space="preserve"> </w:t>
      </w:r>
      <w:r w:rsidRPr="00FC654E">
        <w:rPr>
          <w:color w:val="000000" w:themeColor="text1"/>
        </w:rPr>
        <w:t>MH</w:t>
      </w:r>
      <w:r w:rsidR="00D038FC">
        <w:rPr>
          <w:color w:val="000000" w:themeColor="text1"/>
        </w:rPr>
        <w:t>z</w:t>
      </w:r>
      <w:r w:rsidRPr="00FC654E">
        <w:rPr>
          <w:color w:val="000000" w:themeColor="text1"/>
        </w:rPr>
        <w:t xml:space="preserve">/Harmonised Government Spectrum </w:t>
      </w:r>
      <w:r w:rsidR="00127B59">
        <w:rPr>
          <w:color w:val="000000" w:themeColor="text1"/>
        </w:rPr>
        <w:t xml:space="preserve">band </w:t>
      </w:r>
      <w:r w:rsidRPr="00FC654E">
        <w:rPr>
          <w:color w:val="000000" w:themeColor="text1"/>
        </w:rPr>
        <w:t>and equipment operating in other band segments that were utilised during the games.</w:t>
      </w:r>
    </w:p>
    <w:p w14:paraId="60D83E57" w14:textId="77777777" w:rsidR="004651B1" w:rsidRPr="00FC654E" w:rsidRDefault="004651B1">
      <w:pPr>
        <w:rPr>
          <w:color w:val="000000" w:themeColor="text1"/>
        </w:rPr>
      </w:pPr>
      <w:r w:rsidRPr="004651B1">
        <w:rPr>
          <w:color w:val="000000" w:themeColor="text1"/>
        </w:rPr>
        <w:t>The ACMA’s compliance presence resulted in 1</w:t>
      </w:r>
      <w:r w:rsidR="006A26C9">
        <w:rPr>
          <w:color w:val="000000" w:themeColor="text1"/>
        </w:rPr>
        <w:t>,</w:t>
      </w:r>
      <w:r w:rsidRPr="004651B1">
        <w:rPr>
          <w:color w:val="000000" w:themeColor="text1"/>
        </w:rPr>
        <w:t xml:space="preserve">262 site visits, 13 awareness visits, 231 compliance tasks, </w:t>
      </w:r>
      <w:r w:rsidR="006A26C9">
        <w:rPr>
          <w:color w:val="000000" w:themeColor="text1"/>
        </w:rPr>
        <w:t xml:space="preserve">and </w:t>
      </w:r>
      <w:r w:rsidRPr="004651B1">
        <w:rPr>
          <w:color w:val="000000" w:themeColor="text1"/>
        </w:rPr>
        <w:t>201 warning notices and one infringement notice issued.</w:t>
      </w:r>
    </w:p>
    <w:p w14:paraId="62DC80E5" w14:textId="77777777" w:rsidR="006A26C9" w:rsidRDefault="00D3495C" w:rsidP="005759E7">
      <w:pPr>
        <w:spacing w:after="80"/>
      </w:pPr>
      <w:r w:rsidRPr="00D3495C">
        <w:t>The ACMA achieved all milestones as outlined in the contract between the ACMA and Gold Coast 2018 Commonwe</w:t>
      </w:r>
      <w:r w:rsidR="00840A6D">
        <w:t>alth Games Corporation (GOLDOC)</w:t>
      </w:r>
      <w:r w:rsidR="006A26C9">
        <w:t>:</w:t>
      </w:r>
    </w:p>
    <w:p w14:paraId="4049C39B" w14:textId="77777777" w:rsidR="006A26C9" w:rsidRDefault="006A26C9" w:rsidP="005759E7">
      <w:pPr>
        <w:pStyle w:val="ListBullet"/>
        <w:rPr>
          <w:rFonts w:cs="Arial"/>
        </w:rPr>
      </w:pPr>
      <w:r>
        <w:t>a</w:t>
      </w:r>
      <w:r w:rsidRPr="00FC654E">
        <w:t xml:space="preserve">ll Games contract requirements </w:t>
      </w:r>
      <w:r>
        <w:t>were</w:t>
      </w:r>
      <w:r w:rsidRPr="00FC654E">
        <w:t xml:space="preserve"> met</w:t>
      </w:r>
    </w:p>
    <w:p w14:paraId="68E1F928" w14:textId="77777777" w:rsidR="006A26C9" w:rsidRDefault="006A26C9" w:rsidP="005759E7">
      <w:pPr>
        <w:pStyle w:val="ListBullet"/>
        <w:rPr>
          <w:rFonts w:cs="Arial"/>
        </w:rPr>
      </w:pPr>
      <w:r>
        <w:t>a</w:t>
      </w:r>
      <w:r w:rsidRPr="00FC654E">
        <w:t>ll area</w:t>
      </w:r>
      <w:r>
        <w:t>-</w:t>
      </w:r>
      <w:r w:rsidRPr="00FC654E">
        <w:t xml:space="preserve">wide and in-venue monitoring networks </w:t>
      </w:r>
      <w:r>
        <w:t>were</w:t>
      </w:r>
      <w:r w:rsidRPr="00FC654E">
        <w:t xml:space="preserve"> installed and in operation </w:t>
      </w:r>
      <w:r>
        <w:t>during</w:t>
      </w:r>
      <w:r w:rsidRPr="00FC654E">
        <w:t xml:space="preserve"> the Games </w:t>
      </w:r>
    </w:p>
    <w:p w14:paraId="40206A4B" w14:textId="77777777" w:rsidR="00D3495C" w:rsidRDefault="006A26C9" w:rsidP="005759E7">
      <w:pPr>
        <w:pStyle w:val="ListBulletLast"/>
      </w:pPr>
      <w:r>
        <w:t>a</w:t>
      </w:r>
      <w:r w:rsidRPr="00FC654E">
        <w:t xml:space="preserve">ll frequency authorisations for use of spectrum in the Gold Coast during the Games </w:t>
      </w:r>
      <w:r>
        <w:t>were</w:t>
      </w:r>
      <w:r w:rsidRPr="00FC654E">
        <w:t xml:space="preserve"> issued. </w:t>
      </w:r>
    </w:p>
    <w:p w14:paraId="369A9544" w14:textId="77777777" w:rsidR="007A7B25" w:rsidRDefault="007A7B25">
      <w:r>
        <w:t>Pre-</w:t>
      </w:r>
      <w:r w:rsidR="00844848">
        <w:t>G</w:t>
      </w:r>
      <w:r>
        <w:t xml:space="preserve">ames planning was undertaken in the </w:t>
      </w:r>
      <w:r w:rsidR="00127B59">
        <w:t>12 months prior to</w:t>
      </w:r>
      <w:r>
        <w:t xml:space="preserve"> March 2018</w:t>
      </w:r>
      <w:r w:rsidR="00840A6D">
        <w:t xml:space="preserve">. </w:t>
      </w:r>
    </w:p>
    <w:p w14:paraId="635D1942" w14:textId="77777777" w:rsidR="00A770EF" w:rsidRDefault="00A770EF">
      <w:r>
        <w:t xml:space="preserve">A report on the ACMA’s </w:t>
      </w:r>
      <w:r w:rsidR="002C3994">
        <w:t xml:space="preserve">Commonwealth Games </w:t>
      </w:r>
      <w:r w:rsidR="00696268">
        <w:t>PCA will be published in Q1 2018–</w:t>
      </w:r>
      <w:r w:rsidR="002C3994">
        <w:t>19.</w:t>
      </w:r>
    </w:p>
    <w:p w14:paraId="059EE4BA" w14:textId="77777777" w:rsidR="00144811" w:rsidRPr="0067774B" w:rsidRDefault="00144811" w:rsidP="00947F88">
      <w:pPr>
        <w:pStyle w:val="Heading3"/>
        <w:keepNext w:val="0"/>
      </w:pPr>
      <w:bookmarkStart w:id="541" w:name="_Toc510104997"/>
      <w:bookmarkStart w:id="542" w:name="_Toc510105794"/>
      <w:bookmarkStart w:id="543" w:name="_Toc510795128"/>
      <w:bookmarkStart w:id="544" w:name="_Toc511716331"/>
      <w:bookmarkStart w:id="545" w:name="_Toc511719142"/>
      <w:bookmarkStart w:id="546" w:name="_Toc522794135"/>
      <w:bookmarkStart w:id="547" w:name="_Toc524517146"/>
      <w:r w:rsidRPr="00EF4C9E">
        <w:t>Audit of mobile handset compliance</w:t>
      </w:r>
      <w:r w:rsidR="006A26C9">
        <w:t>—</w:t>
      </w:r>
      <w:r w:rsidRPr="00FB05C9">
        <w:t>technical standards audit program</w:t>
      </w:r>
      <w:bookmarkEnd w:id="541"/>
      <w:bookmarkEnd w:id="542"/>
      <w:bookmarkEnd w:id="543"/>
      <w:bookmarkEnd w:id="544"/>
      <w:bookmarkEnd w:id="545"/>
      <w:bookmarkEnd w:id="546"/>
      <w:bookmarkEnd w:id="547"/>
    </w:p>
    <w:p w14:paraId="3BB96EB0" w14:textId="77777777" w:rsidR="00840A6D" w:rsidRDefault="007A7B25" w:rsidP="0077559E">
      <w:r>
        <w:t xml:space="preserve">An audit of mobile handsets for compliance with technical standards </w:t>
      </w:r>
      <w:r w:rsidR="00840A6D">
        <w:t>was</w:t>
      </w:r>
      <w:r>
        <w:t xml:space="preserve"> undertaken as part of the ACMA’s routine monitoring</w:t>
      </w:r>
      <w:r w:rsidR="006A26C9">
        <w:t>,</w:t>
      </w:r>
      <w:r>
        <w:t xml:space="preserve"> rather than in response to non-compliance issues.</w:t>
      </w:r>
    </w:p>
    <w:p w14:paraId="53D83BD7" w14:textId="77777777" w:rsidR="006B6F6E" w:rsidRPr="005759E7" w:rsidRDefault="006B6F6E" w:rsidP="005759E7">
      <w:pPr>
        <w:pStyle w:val="Heading2"/>
        <w:keepLines/>
      </w:pPr>
      <w:bookmarkStart w:id="548" w:name="_Toc522794136"/>
      <w:bookmarkStart w:id="549" w:name="_Toc524517147"/>
      <w:bookmarkStart w:id="550" w:name="_Toc510104998"/>
      <w:bookmarkStart w:id="551" w:name="_Toc510105795"/>
      <w:bookmarkStart w:id="552" w:name="_Toc510795129"/>
      <w:bookmarkStart w:id="553" w:name="_Toc511716332"/>
      <w:bookmarkStart w:id="554" w:name="_Toc511719143"/>
      <w:r w:rsidRPr="005759E7">
        <w:lastRenderedPageBreak/>
        <w:t xml:space="preserve">New/ongoing activities planned for </w:t>
      </w:r>
      <w:r w:rsidR="006A26C9">
        <w:t>20</w:t>
      </w:r>
      <w:r w:rsidRPr="005759E7">
        <w:t>18</w:t>
      </w:r>
      <w:r w:rsidR="006A26C9">
        <w:t>–</w:t>
      </w:r>
      <w:r w:rsidRPr="005759E7">
        <w:t>19</w:t>
      </w:r>
      <w:bookmarkEnd w:id="548"/>
      <w:bookmarkEnd w:id="549"/>
      <w:r w:rsidRPr="005759E7">
        <w:t xml:space="preserve"> </w:t>
      </w:r>
      <w:bookmarkEnd w:id="550"/>
      <w:bookmarkEnd w:id="551"/>
      <w:bookmarkEnd w:id="552"/>
      <w:bookmarkEnd w:id="553"/>
      <w:bookmarkEnd w:id="554"/>
    </w:p>
    <w:p w14:paraId="297C8225" w14:textId="77777777" w:rsidR="004651B1" w:rsidRPr="009C75E3" w:rsidRDefault="004651B1" w:rsidP="005759E7">
      <w:pPr>
        <w:pStyle w:val="Heading3"/>
        <w:keepLines/>
      </w:pPr>
      <w:bookmarkStart w:id="555" w:name="_Toc510104999"/>
      <w:bookmarkStart w:id="556" w:name="_Toc510105796"/>
      <w:bookmarkStart w:id="557" w:name="_Toc510795130"/>
      <w:bookmarkStart w:id="558" w:name="_Toc511716333"/>
      <w:bookmarkStart w:id="559" w:name="_Toc511719144"/>
      <w:bookmarkStart w:id="560" w:name="_Toc522794137"/>
      <w:bookmarkStart w:id="561" w:name="_Toc524517148"/>
      <w:r w:rsidRPr="009C75E3">
        <w:t>Audit of mobile handset compliance</w:t>
      </w:r>
      <w:r w:rsidR="006A26C9">
        <w:t>—</w:t>
      </w:r>
      <w:r w:rsidRPr="009C75E3">
        <w:t>technical standards audit program</w:t>
      </w:r>
      <w:bookmarkEnd w:id="555"/>
      <w:bookmarkEnd w:id="556"/>
      <w:bookmarkEnd w:id="557"/>
      <w:bookmarkEnd w:id="558"/>
      <w:bookmarkEnd w:id="559"/>
      <w:bookmarkEnd w:id="560"/>
      <w:bookmarkEnd w:id="561"/>
    </w:p>
    <w:p w14:paraId="28999385" w14:textId="77777777" w:rsidR="00652503" w:rsidRDefault="00E0708F" w:rsidP="005759E7">
      <w:pPr>
        <w:rPr>
          <w:b/>
          <w:bCs/>
        </w:rPr>
      </w:pPr>
      <w:r w:rsidRPr="00CD4A5B">
        <w:t>The ACMA’s audit of 13 mobi</w:t>
      </w:r>
      <w:r w:rsidRPr="002E3B22">
        <w:t>le phone handset suppliers concluded</w:t>
      </w:r>
      <w:r w:rsidR="006A26C9">
        <w:t xml:space="preserve"> and found</w:t>
      </w:r>
      <w:r w:rsidRPr="002E3B22">
        <w:t xml:space="preserve"> </w:t>
      </w:r>
      <w:r w:rsidR="006A26C9">
        <w:t>c</w:t>
      </w:r>
      <w:r w:rsidRPr="002E3B22">
        <w:t>ompliance was high. This completes the ACMA’s suite of EME compliance programs</w:t>
      </w:r>
      <w:r w:rsidR="00455D60">
        <w:t xml:space="preserve"> and an online</w:t>
      </w:r>
      <w:r w:rsidR="006A26C9" w:rsidRPr="00FF01E8">
        <w:t xml:space="preserve"> rep</w:t>
      </w:r>
      <w:r w:rsidR="006A26C9">
        <w:t xml:space="preserve">ort </w:t>
      </w:r>
      <w:r w:rsidR="00455D60">
        <w:t xml:space="preserve">will be published </w:t>
      </w:r>
      <w:r w:rsidR="006A26C9">
        <w:t xml:space="preserve">in </w:t>
      </w:r>
      <w:r w:rsidR="00991CD9">
        <w:t>Q2 2018-19</w:t>
      </w:r>
      <w:r w:rsidR="00455D60">
        <w:t>.</w:t>
      </w:r>
      <w:r w:rsidRPr="002E3B22">
        <w:t xml:space="preserve"> </w:t>
      </w:r>
      <w:bookmarkStart w:id="562" w:name="_Toc496625026"/>
    </w:p>
    <w:p w14:paraId="26BD1322" w14:textId="77777777" w:rsidR="006E61C3" w:rsidRDefault="00844848" w:rsidP="00947F88">
      <w:pPr>
        <w:pStyle w:val="Heading3"/>
        <w:keepNext w:val="0"/>
      </w:pPr>
      <w:bookmarkStart w:id="563" w:name="_Toc524517149"/>
      <w:r>
        <w:t>PCAs</w:t>
      </w:r>
      <w:bookmarkEnd w:id="563"/>
      <w:r>
        <w:t xml:space="preserve"> </w:t>
      </w:r>
    </w:p>
    <w:bookmarkEnd w:id="562"/>
    <w:p w14:paraId="3E93D392" w14:textId="77777777" w:rsidR="004651B1" w:rsidRDefault="007D7B0F" w:rsidP="0077559E">
      <w:r>
        <w:t xml:space="preserve">The ACMA’s </w:t>
      </w:r>
      <w:r w:rsidR="00455D60">
        <w:t>PCAs</w:t>
      </w:r>
      <w:r>
        <w:t xml:space="preserve"> for 2018</w:t>
      </w:r>
      <w:r w:rsidR="00455D60">
        <w:t>–</w:t>
      </w:r>
      <w:r>
        <w:t>19 will be finalised in Q4 2017</w:t>
      </w:r>
      <w:r w:rsidR="00455D60">
        <w:t>–</w:t>
      </w:r>
      <w:r>
        <w:t>18</w:t>
      </w:r>
      <w:r w:rsidR="004651B1" w:rsidRPr="004651B1">
        <w:t>.</w:t>
      </w:r>
    </w:p>
    <w:p w14:paraId="4828682C" w14:textId="77777777" w:rsidR="00286D6B" w:rsidRPr="00CF1BE6" w:rsidRDefault="00286D6B" w:rsidP="005759E7">
      <w:pPr>
        <w:pStyle w:val="Heading1"/>
      </w:pPr>
      <w:bookmarkStart w:id="564" w:name="_Toc510105001"/>
      <w:bookmarkStart w:id="565" w:name="_Toc510105798"/>
      <w:bookmarkStart w:id="566" w:name="_Toc510795132"/>
      <w:bookmarkStart w:id="567" w:name="_Toc511716335"/>
      <w:bookmarkStart w:id="568" w:name="_Toc511719146"/>
      <w:bookmarkStart w:id="569" w:name="_Toc522794139"/>
      <w:bookmarkStart w:id="570" w:name="_Toc524517150"/>
      <w:r w:rsidRPr="00CF1BE6">
        <w:lastRenderedPageBreak/>
        <w:t>International engagement</w:t>
      </w:r>
      <w:bookmarkEnd w:id="564"/>
      <w:bookmarkEnd w:id="565"/>
      <w:bookmarkEnd w:id="566"/>
      <w:bookmarkEnd w:id="567"/>
      <w:bookmarkEnd w:id="568"/>
      <w:bookmarkEnd w:id="569"/>
      <w:bookmarkEnd w:id="570"/>
    </w:p>
    <w:p w14:paraId="51313B8C" w14:textId="77777777" w:rsidR="007F1A09" w:rsidRPr="00CF1BE6" w:rsidRDefault="007F1A09" w:rsidP="007F1A09">
      <w:bookmarkStart w:id="571" w:name="_Toc510105002"/>
      <w:bookmarkStart w:id="572" w:name="_Toc510105799"/>
      <w:r w:rsidRPr="00CF1BE6">
        <w:t>The ACMA,</w:t>
      </w:r>
      <w:r w:rsidR="001556CE" w:rsidRPr="00CF1BE6">
        <w:t xml:space="preserve"> </w:t>
      </w:r>
      <w:r w:rsidR="009D0090" w:rsidRPr="00CF1BE6">
        <w:t>DoCA</w:t>
      </w:r>
      <w:r w:rsidR="001556CE" w:rsidRPr="00CF1BE6">
        <w:t>,</w:t>
      </w:r>
      <w:r w:rsidRPr="00CF1BE6">
        <w:t xml:space="preserve"> Australian industry and government stakeholders participate in international radiocommunications forums to promote and protect Australian interests in spectrum management, including spectrum harmonisation and international frequency coordination. </w:t>
      </w:r>
    </w:p>
    <w:p w14:paraId="68C64259" w14:textId="77777777" w:rsidR="007F1A09" w:rsidRDefault="007F1A09" w:rsidP="007F1A09">
      <w:r w:rsidRPr="00CF1BE6">
        <w:t>The peak international forum is the International Telecommunication Union’s (ITU) World Radiocommunication Conference (WRC), which reviews and revises the Radio Regulations, the international treaty regarding use of the spectrum and satellite orbits. The next</w:t>
      </w:r>
      <w:r w:rsidR="00455D60" w:rsidRPr="00CF1BE6">
        <w:t xml:space="preserve"> conference</w:t>
      </w:r>
      <w:r w:rsidRPr="00CF1BE6">
        <w:t xml:space="preserve"> is scheduled for 28 October – 22 November 2019 (WR</w:t>
      </w:r>
      <w:r w:rsidRPr="00C51923">
        <w:t>C-19</w:t>
      </w:r>
      <w:r w:rsidRPr="00CF1BE6">
        <w:t>). WRC-19 will be considering a large agenda concerning a range of new frequency allocation and procedural matters</w:t>
      </w:r>
      <w:r w:rsidR="00455D60" w:rsidRPr="00CF1BE6">
        <w:t xml:space="preserve">, </w:t>
      </w:r>
      <w:r w:rsidRPr="00CF1BE6">
        <w:t>includ</w:t>
      </w:r>
      <w:r w:rsidR="00455D60" w:rsidRPr="00CF1BE6">
        <w:t>ing</w:t>
      </w:r>
      <w:r w:rsidRPr="00CF1BE6">
        <w:t xml:space="preserve"> possible allocations for satellite services and identification of spectrum suitable for 5G services.</w:t>
      </w:r>
      <w:r w:rsidR="00447762">
        <w:t xml:space="preserve"> </w:t>
      </w:r>
    </w:p>
    <w:p w14:paraId="18EC3E08" w14:textId="77777777" w:rsidR="007F1A09" w:rsidRDefault="009D0090" w:rsidP="007F1A09">
      <w:r>
        <w:t>DoCA</w:t>
      </w:r>
      <w:r w:rsidR="007F1A09">
        <w:t xml:space="preserve"> lead</w:t>
      </w:r>
      <w:r w:rsidR="005B3CE3">
        <w:t>s</w:t>
      </w:r>
      <w:r w:rsidR="007F1A09">
        <w:t xml:space="preserve"> the Australian delegation </w:t>
      </w:r>
      <w:r w:rsidR="005B3CE3">
        <w:t xml:space="preserve">to </w:t>
      </w:r>
      <w:r w:rsidR="007F1A09">
        <w:t>WRC</w:t>
      </w:r>
      <w:r w:rsidR="005B3CE3">
        <w:t>s</w:t>
      </w:r>
      <w:r w:rsidR="007F1A09">
        <w:t xml:space="preserve">, </w:t>
      </w:r>
      <w:r w:rsidR="005B3CE3">
        <w:t xml:space="preserve">and </w:t>
      </w:r>
      <w:r w:rsidR="007F1A09">
        <w:t xml:space="preserve">other </w:t>
      </w:r>
      <w:r w:rsidR="00AC631A">
        <w:t xml:space="preserve">key </w:t>
      </w:r>
      <w:r w:rsidR="001556CE">
        <w:t>policy</w:t>
      </w:r>
      <w:r w:rsidR="00545E0B">
        <w:t>-</w:t>
      </w:r>
      <w:r w:rsidR="005B3CE3">
        <w:t xml:space="preserve">focussed </w:t>
      </w:r>
      <w:r w:rsidR="007F1A09">
        <w:t xml:space="preserve">ITU </w:t>
      </w:r>
      <w:r w:rsidR="001556CE">
        <w:t xml:space="preserve">and </w:t>
      </w:r>
      <w:r w:rsidR="007F1A09">
        <w:t xml:space="preserve">Asia-Pacific Telecommunity (APT) </w:t>
      </w:r>
      <w:r w:rsidR="005B3CE3">
        <w:t xml:space="preserve">radiocommunication </w:t>
      </w:r>
      <w:r w:rsidR="001556CE">
        <w:t xml:space="preserve">meetings including the APT </w:t>
      </w:r>
      <w:r w:rsidR="007F1A09">
        <w:t xml:space="preserve">Conference Preparatory Group for WRC-19 (APG-19). The ACMA </w:t>
      </w:r>
      <w:r w:rsidR="005B3CE3">
        <w:t>is</w:t>
      </w:r>
      <w:r w:rsidR="007F1A09">
        <w:t xml:space="preserve"> closely involved in supporting Australian preparatory processes and providing technical expertise for these meetings.</w:t>
      </w:r>
    </w:p>
    <w:p w14:paraId="3A146963" w14:textId="77777777" w:rsidR="007F1A09" w:rsidRDefault="007F1A09" w:rsidP="007F1A09">
      <w:r>
        <w:t xml:space="preserve">In addition to </w:t>
      </w:r>
      <w:r w:rsidR="001556CE">
        <w:t>policy</w:t>
      </w:r>
      <w:r w:rsidR="00545E0B">
        <w:t>-</w:t>
      </w:r>
      <w:r w:rsidR="005B3CE3">
        <w:t>focussed</w:t>
      </w:r>
      <w:r>
        <w:t xml:space="preserve"> meetings, there are a number of other forums within the ITU and regionally within the APT that consider issues </w:t>
      </w:r>
      <w:r w:rsidR="005B3CE3">
        <w:t xml:space="preserve">with a technical focus that are </w:t>
      </w:r>
      <w:r>
        <w:t>of significance to Australian spectrum management</w:t>
      </w:r>
      <w:r w:rsidR="00AC631A">
        <w:t>, such as ITU-R Study Groups and Working Parties</w:t>
      </w:r>
      <w:r w:rsidR="0075302B">
        <w:t>,</w:t>
      </w:r>
      <w:r w:rsidR="00CC5B97">
        <w:t xml:space="preserve"> and the APT Wireless Group (AWG)</w:t>
      </w:r>
      <w:r>
        <w:t>. The ACMA manages and, along with industry, provides technical expertise for the preparatory groups contributing to these forums.</w:t>
      </w:r>
    </w:p>
    <w:p w14:paraId="3C1BC272" w14:textId="77777777" w:rsidR="007F1A09" w:rsidRDefault="007F1A09" w:rsidP="007F1A09">
      <w:r>
        <w:t xml:space="preserve">In addition to the management and participation </w:t>
      </w:r>
      <w:r w:rsidR="00AC631A">
        <w:t xml:space="preserve">in </w:t>
      </w:r>
      <w:r w:rsidR="00455D60">
        <w:t>these</w:t>
      </w:r>
      <w:r>
        <w:t xml:space="preserve"> various formal international forums, the ACMA undertakes informal bilateral and multilateral engagement with peer regulators from around the world. This engagement is invaluable in coordinating international activities and sharing information and learnings from other spectrum managers on issues of common interest.</w:t>
      </w:r>
      <w:r w:rsidR="00447762">
        <w:t xml:space="preserve"> </w:t>
      </w:r>
    </w:p>
    <w:p w14:paraId="0FFF7432" w14:textId="77777777" w:rsidR="00D31129" w:rsidRDefault="00D31129" w:rsidP="00A92E12">
      <w:pPr>
        <w:pStyle w:val="Heading2"/>
      </w:pPr>
      <w:bookmarkStart w:id="573" w:name="_Toc510105003"/>
      <w:bookmarkStart w:id="574" w:name="_Toc510105800"/>
      <w:bookmarkStart w:id="575" w:name="_Toc510795133"/>
      <w:bookmarkStart w:id="576" w:name="_Toc511716336"/>
      <w:bookmarkStart w:id="577" w:name="_Toc511719147"/>
      <w:bookmarkStart w:id="578" w:name="_Toc522794140"/>
      <w:bookmarkStart w:id="579" w:name="_Toc524517151"/>
      <w:bookmarkEnd w:id="571"/>
      <w:bookmarkEnd w:id="572"/>
      <w:r>
        <w:t>Progress achieved</w:t>
      </w:r>
      <w:bookmarkEnd w:id="573"/>
      <w:bookmarkEnd w:id="574"/>
      <w:bookmarkEnd w:id="575"/>
      <w:bookmarkEnd w:id="576"/>
      <w:bookmarkEnd w:id="577"/>
      <w:bookmarkEnd w:id="578"/>
      <w:bookmarkEnd w:id="579"/>
    </w:p>
    <w:p w14:paraId="56196167" w14:textId="77777777" w:rsidR="003D3044" w:rsidRDefault="0072518B" w:rsidP="00053BAC">
      <w:r>
        <w:t>During 2017</w:t>
      </w:r>
      <w:r w:rsidR="00455D60">
        <w:t>–</w:t>
      </w:r>
      <w:r>
        <w:t>18, t</w:t>
      </w:r>
      <w:r w:rsidR="001556CE">
        <w:t xml:space="preserve">he ACMA, working with </w:t>
      </w:r>
      <w:r w:rsidR="009D0090">
        <w:t>DoCA</w:t>
      </w:r>
      <w:r w:rsidR="00CA13F7">
        <w:t xml:space="preserve"> where relevant</w:t>
      </w:r>
      <w:r w:rsidR="001556CE">
        <w:t xml:space="preserve">, </w:t>
      </w:r>
      <w:r>
        <w:t>continued</w:t>
      </w:r>
      <w:r w:rsidR="003D3044">
        <w:t xml:space="preserve"> to manage and provide technical expertise </w:t>
      </w:r>
      <w:r>
        <w:t>to</w:t>
      </w:r>
      <w:r w:rsidR="003D3044">
        <w:t xml:space="preserve"> Australian preparatory processes for international spectrum management forums through the established framework</w:t>
      </w:r>
      <w:r w:rsidR="00455D60">
        <w:t>,</w:t>
      </w:r>
      <w:r w:rsidR="003D3044">
        <w:t xml:space="preserve"> including the Australian Radiocommunication Study Groups (</w:t>
      </w:r>
      <w:r w:rsidR="003D3044" w:rsidRPr="00C51923">
        <w:t>ARSGs</w:t>
      </w:r>
      <w:r w:rsidR="003D3044">
        <w:t>).</w:t>
      </w:r>
    </w:p>
    <w:p w14:paraId="26BA91F3" w14:textId="77777777" w:rsidR="003D3044" w:rsidRDefault="00D31129" w:rsidP="00053BAC">
      <w:r>
        <w:t>ACMA staff headed delegations to a number of ITU Radiocommunication Sector (ITU</w:t>
      </w:r>
      <w:r w:rsidR="00545E0B">
        <w:noBreakHyphen/>
      </w:r>
      <w:r>
        <w:t>R) meetings during 2017</w:t>
      </w:r>
      <w:r w:rsidR="00455D60">
        <w:t>–</w:t>
      </w:r>
      <w:r>
        <w:t>18, including meetings of ITU-</w:t>
      </w:r>
      <w:r w:rsidRPr="00C51923">
        <w:t>R Study Groups 4</w:t>
      </w:r>
      <w:r>
        <w:t xml:space="preserve"> and 5 and their associated Working Parties, and Task Group 5/1. The ACMA also supported </w:t>
      </w:r>
      <w:r w:rsidR="003D3044">
        <w:t xml:space="preserve">industry led </w:t>
      </w:r>
      <w:r>
        <w:t>Australian delegations to ITU-R Study Groups 3, 6 and 7 and their associated Working Parties.</w:t>
      </w:r>
      <w:r w:rsidR="003D3044">
        <w:t xml:space="preserve"> </w:t>
      </w:r>
      <w:r>
        <w:t xml:space="preserve">ACMA staff </w:t>
      </w:r>
      <w:r w:rsidR="001556CE">
        <w:t xml:space="preserve">also </w:t>
      </w:r>
      <w:r>
        <w:t xml:space="preserve">headed delegations to </w:t>
      </w:r>
      <w:r w:rsidR="003D3044">
        <w:t>regional AWG</w:t>
      </w:r>
      <w:r>
        <w:t xml:space="preserve"> meetings</w:t>
      </w:r>
      <w:r w:rsidR="003D3044">
        <w:t>.</w:t>
      </w:r>
    </w:p>
    <w:p w14:paraId="5E7DCF79" w14:textId="77777777" w:rsidR="00053BAC" w:rsidRDefault="003D3044" w:rsidP="00053BAC">
      <w:r>
        <w:t xml:space="preserve">The ACMA </w:t>
      </w:r>
      <w:r w:rsidR="00455D60">
        <w:t>and</w:t>
      </w:r>
      <w:r>
        <w:t xml:space="preserve"> </w:t>
      </w:r>
      <w:r w:rsidR="009D0090">
        <w:t>DoCA</w:t>
      </w:r>
      <w:r w:rsidR="001556CE">
        <w:t xml:space="preserve"> </w:t>
      </w:r>
      <w:r w:rsidR="00D31129">
        <w:t>co-headed delegation</w:t>
      </w:r>
      <w:r w:rsidR="0072518B">
        <w:t>s</w:t>
      </w:r>
      <w:r w:rsidR="00D31129">
        <w:t xml:space="preserve"> to </w:t>
      </w:r>
      <w:r w:rsidR="001556CE">
        <w:t xml:space="preserve">the second meeting of the </w:t>
      </w:r>
      <w:r>
        <w:t>APG19</w:t>
      </w:r>
      <w:r w:rsidR="001556CE">
        <w:t xml:space="preserve"> (APG19-2)</w:t>
      </w:r>
      <w:r>
        <w:t xml:space="preserve"> held in July 2017 and </w:t>
      </w:r>
      <w:r w:rsidR="001556CE">
        <w:t>the third meeting (</w:t>
      </w:r>
      <w:r>
        <w:t>APG19-3</w:t>
      </w:r>
      <w:r w:rsidR="001556CE">
        <w:t>)</w:t>
      </w:r>
      <w:r>
        <w:t xml:space="preserve"> in March 2018.</w:t>
      </w:r>
      <w:r w:rsidR="006E190F">
        <w:t xml:space="preserve"> The APG19-3 meeting, with over 400 </w:t>
      </w:r>
      <w:r w:rsidR="0072518B">
        <w:t>delegates</w:t>
      </w:r>
      <w:r w:rsidR="006E190F">
        <w:t>, was hosted</w:t>
      </w:r>
      <w:r w:rsidR="0072518B">
        <w:t xml:space="preserve"> in Perth</w:t>
      </w:r>
      <w:r w:rsidR="006E190F">
        <w:t xml:space="preserve"> by the Australian </w:t>
      </w:r>
      <w:r w:rsidR="00455D60">
        <w:t>G</w:t>
      </w:r>
      <w:r w:rsidR="006E190F">
        <w:t>overnment and organised by the ACMA.</w:t>
      </w:r>
      <w:r w:rsidR="00447762">
        <w:t xml:space="preserve">  </w:t>
      </w:r>
    </w:p>
    <w:p w14:paraId="1B8D37A4" w14:textId="77777777" w:rsidR="00D31129" w:rsidRDefault="00D31129" w:rsidP="00991CD9">
      <w:pPr>
        <w:pStyle w:val="Heading2"/>
      </w:pPr>
      <w:bookmarkStart w:id="580" w:name="_Toc510105004"/>
      <w:bookmarkStart w:id="581" w:name="_Toc510105801"/>
      <w:bookmarkStart w:id="582" w:name="_Toc510795134"/>
      <w:bookmarkStart w:id="583" w:name="_Toc511716337"/>
      <w:bookmarkStart w:id="584" w:name="_Toc511719148"/>
      <w:bookmarkStart w:id="585" w:name="_Toc522794141"/>
      <w:bookmarkStart w:id="586" w:name="_Toc524517152"/>
      <w:r>
        <w:lastRenderedPageBreak/>
        <w:t>New</w:t>
      </w:r>
      <w:r w:rsidR="00CF1BE6">
        <w:t xml:space="preserve"> and </w:t>
      </w:r>
      <w:r>
        <w:t xml:space="preserve">ongoing activities planned for </w:t>
      </w:r>
      <w:r w:rsidR="00455D60">
        <w:t>20</w:t>
      </w:r>
      <w:r>
        <w:t>18</w:t>
      </w:r>
      <w:r w:rsidR="00455D60">
        <w:t>–</w:t>
      </w:r>
      <w:r>
        <w:t>19</w:t>
      </w:r>
      <w:bookmarkEnd w:id="580"/>
      <w:bookmarkEnd w:id="581"/>
      <w:bookmarkEnd w:id="582"/>
      <w:bookmarkEnd w:id="583"/>
      <w:bookmarkEnd w:id="584"/>
      <w:bookmarkEnd w:id="585"/>
      <w:bookmarkEnd w:id="586"/>
    </w:p>
    <w:p w14:paraId="139C4A86" w14:textId="77777777" w:rsidR="003D3044" w:rsidRDefault="004929F9" w:rsidP="00053BAC">
      <w:r>
        <w:t xml:space="preserve">The </w:t>
      </w:r>
      <w:r w:rsidR="003D3044">
        <w:t>ACMA will continue to manage</w:t>
      </w:r>
      <w:r w:rsidR="0072518B">
        <w:t>,</w:t>
      </w:r>
      <w:r w:rsidR="003D3044">
        <w:t xml:space="preserve"> and provide technical expertise for Australian engagement in international spectrum management forums through the established consultative frameworks.</w:t>
      </w:r>
      <w:r w:rsidR="00447762">
        <w:t xml:space="preserve"> </w:t>
      </w:r>
      <w:r w:rsidR="005B3CE3">
        <w:t>Where DoCA leads Australian delegations to policy-focused international meetings, the ACMA will continue to provide technical expertise in support.</w:t>
      </w:r>
    </w:p>
    <w:p w14:paraId="6DE3B624" w14:textId="77777777" w:rsidR="006C3A84" w:rsidRDefault="00A71B9E" w:rsidP="006E190F">
      <w:r>
        <w:t xml:space="preserve">The </w:t>
      </w:r>
      <w:r w:rsidR="006E190F">
        <w:t>s</w:t>
      </w:r>
      <w:r>
        <w:t xml:space="preserve">econd </w:t>
      </w:r>
      <w:r w:rsidR="007132A4">
        <w:t xml:space="preserve">meeting </w:t>
      </w:r>
      <w:r>
        <w:t>of the Conference Preparatory Meeting for WRC-19 (CPM19-2)</w:t>
      </w:r>
      <w:r w:rsidR="00BB4EA4" w:rsidRPr="00BB4EA4">
        <w:t xml:space="preserve"> </w:t>
      </w:r>
      <w:r w:rsidR="003D3044">
        <w:t xml:space="preserve">is scheduled for </w:t>
      </w:r>
      <w:r w:rsidR="00CC5B97">
        <w:t>1</w:t>
      </w:r>
      <w:r w:rsidR="004F2763">
        <w:t>8</w:t>
      </w:r>
      <w:r w:rsidR="00CF1BE6">
        <w:t>–</w:t>
      </w:r>
      <w:r w:rsidR="00CC5B97">
        <w:t xml:space="preserve">28 </w:t>
      </w:r>
      <w:r w:rsidR="006E190F">
        <w:t xml:space="preserve">February 2019 and </w:t>
      </w:r>
      <w:r w:rsidR="00BB4EA4" w:rsidRPr="00BB4EA4">
        <w:t xml:space="preserve">will </w:t>
      </w:r>
      <w:r w:rsidR="007132A4">
        <w:t>finalise</w:t>
      </w:r>
      <w:r w:rsidR="005467AD" w:rsidRPr="00BB4EA4">
        <w:t xml:space="preserve"> </w:t>
      </w:r>
      <w:r w:rsidR="00BB4EA4" w:rsidRPr="00BB4EA4">
        <w:t xml:space="preserve">a consolidated </w:t>
      </w:r>
      <w:r w:rsidR="005467AD">
        <w:t>r</w:t>
      </w:r>
      <w:r w:rsidR="00BB4EA4" w:rsidRPr="00BB4EA4">
        <w:t>eport to WRC-19 o</w:t>
      </w:r>
      <w:r w:rsidR="0072518B">
        <w:t>n</w:t>
      </w:r>
      <w:r w:rsidR="00BB4EA4" w:rsidRPr="00BB4EA4" w:rsidDel="0072518B">
        <w:t xml:space="preserve"> </w:t>
      </w:r>
      <w:r w:rsidR="00BB4EA4" w:rsidRPr="00BB4EA4">
        <w:t xml:space="preserve">ITU-R Preparatory Studies undertaken since 2015. The CPM report will include possible solutions to address WRC-19 agenda items to be used in support of the work of WRC-19. </w:t>
      </w:r>
      <w:r w:rsidR="006E190F">
        <w:t xml:space="preserve">The </w:t>
      </w:r>
      <w:r w:rsidR="005467AD">
        <w:t>f</w:t>
      </w:r>
      <w:r w:rsidR="006E190F">
        <w:t xml:space="preserve">ourth meeting </w:t>
      </w:r>
      <w:r w:rsidR="004F2763">
        <w:t xml:space="preserve">of the APT Conference Preparatory Group for WRC-19 </w:t>
      </w:r>
      <w:r w:rsidR="006E190F">
        <w:t xml:space="preserve">(APG19-4) will be held </w:t>
      </w:r>
      <w:r w:rsidR="004F2763">
        <w:t>from 7</w:t>
      </w:r>
      <w:r w:rsidR="009D0090">
        <w:t>–</w:t>
      </w:r>
      <w:r w:rsidR="004F2763">
        <w:t xml:space="preserve">12 January 2019, </w:t>
      </w:r>
      <w:r w:rsidR="006E190F">
        <w:t xml:space="preserve">just prior to the CPM meeting. </w:t>
      </w:r>
      <w:r w:rsidR="005B3CE3">
        <w:t xml:space="preserve">The </w:t>
      </w:r>
      <w:r w:rsidR="00BB4EA4" w:rsidRPr="00BB4EA4">
        <w:t xml:space="preserve">Australian </w:t>
      </w:r>
      <w:r w:rsidR="005467AD">
        <w:t>d</w:t>
      </w:r>
      <w:r w:rsidR="00BB4EA4" w:rsidRPr="00BB4EA4">
        <w:t>elegation</w:t>
      </w:r>
      <w:r w:rsidR="005B3CE3">
        <w:t>s</w:t>
      </w:r>
      <w:r w:rsidR="00BB4EA4" w:rsidRPr="00BB4EA4">
        <w:t xml:space="preserve"> to th</w:t>
      </w:r>
      <w:r w:rsidR="006E190F">
        <w:t xml:space="preserve">ese </w:t>
      </w:r>
      <w:r w:rsidR="00BB4EA4" w:rsidRPr="00BB4EA4">
        <w:t>meeting</w:t>
      </w:r>
      <w:r w:rsidR="006E190F">
        <w:t>s</w:t>
      </w:r>
      <w:r w:rsidR="005B3CE3">
        <w:t xml:space="preserve"> will include ACMA officers</w:t>
      </w:r>
      <w:r w:rsidR="00BB4EA4" w:rsidRPr="00BB4EA4">
        <w:t>.</w:t>
      </w:r>
    </w:p>
    <w:p w14:paraId="53CF7D83" w14:textId="77777777" w:rsidR="00BB4EA4" w:rsidRDefault="006E190F" w:rsidP="00053BAC">
      <w:r>
        <w:t xml:space="preserve">Australia will also participate in various ITU-R and AWG forums over the coming year, with exact dates to be confirmed. </w:t>
      </w:r>
    </w:p>
    <w:p w14:paraId="5A0EDCEF" w14:textId="77777777" w:rsidR="005467AD" w:rsidRPr="005467AD" w:rsidRDefault="005467AD" w:rsidP="005759E7">
      <w:pPr>
        <w:pStyle w:val="Heading1"/>
      </w:pPr>
      <w:bookmarkStart w:id="587" w:name="_Toc522794142"/>
      <w:bookmarkStart w:id="588" w:name="_Toc524517153"/>
      <w:r w:rsidRPr="005467AD">
        <w:lastRenderedPageBreak/>
        <w:t>Appendix A—Sunsetting instruments</w:t>
      </w:r>
      <w:bookmarkEnd w:id="587"/>
      <w:bookmarkEnd w:id="588"/>
    </w:p>
    <w:p w14:paraId="073EAE92" w14:textId="77777777" w:rsidR="00B94C86" w:rsidRDefault="00B94C86" w:rsidP="00F16F31">
      <w:pPr>
        <w:pStyle w:val="Heading2"/>
      </w:pPr>
      <w:bookmarkStart w:id="589" w:name="_Toc491854137"/>
      <w:bookmarkStart w:id="590" w:name="_Toc494115204"/>
      <w:bookmarkStart w:id="591" w:name="_Toc509581839"/>
      <w:bookmarkStart w:id="592" w:name="_Toc509585155"/>
      <w:bookmarkStart w:id="593" w:name="_Toc509585691"/>
      <w:bookmarkStart w:id="594" w:name="_Toc510105009"/>
      <w:bookmarkStart w:id="595" w:name="_Toc510105806"/>
      <w:bookmarkStart w:id="596" w:name="_Toc510795138"/>
      <w:bookmarkStart w:id="597" w:name="_Toc511716341"/>
      <w:bookmarkStart w:id="598" w:name="_Toc511719152"/>
      <w:bookmarkStart w:id="599" w:name="_Toc522794143"/>
      <w:bookmarkStart w:id="600" w:name="_Toc524517154"/>
      <w:r>
        <w:t>I</w:t>
      </w:r>
      <w:r w:rsidRPr="008C37D5">
        <w:t xml:space="preserve">nstruments </w:t>
      </w:r>
      <w:r w:rsidR="00D038FC">
        <w:t xml:space="preserve">previously </w:t>
      </w:r>
      <w:r w:rsidRPr="008C37D5">
        <w:t>due to sunset on 1 October 2018</w:t>
      </w:r>
      <w:bookmarkEnd w:id="589"/>
      <w:bookmarkEnd w:id="590"/>
      <w:bookmarkEnd w:id="591"/>
      <w:bookmarkEnd w:id="592"/>
      <w:bookmarkEnd w:id="593"/>
      <w:bookmarkEnd w:id="594"/>
      <w:bookmarkEnd w:id="595"/>
      <w:bookmarkEnd w:id="596"/>
      <w:bookmarkEnd w:id="597"/>
      <w:bookmarkEnd w:id="598"/>
      <w:bookmarkEnd w:id="599"/>
      <w:bookmarkEnd w:id="600"/>
    </w:p>
    <w:p w14:paraId="0ABBC02E" w14:textId="77777777" w:rsidR="00A01828" w:rsidRPr="00A01828" w:rsidRDefault="00A01828" w:rsidP="00F57787">
      <w:pPr>
        <w:pStyle w:val="ACMATableHeader"/>
      </w:pPr>
      <w:r w:rsidRPr="00A01828">
        <w:t xml:space="preserve">Instruments </w:t>
      </w:r>
      <w:r w:rsidR="00D038FC">
        <w:t xml:space="preserve">previously due to </w:t>
      </w:r>
      <w:r w:rsidRPr="00A01828">
        <w:t>sunset on 1 October 2018</w:t>
      </w:r>
    </w:p>
    <w:tbl>
      <w:tblPr>
        <w:tblStyle w:val="TableGrid"/>
        <w:tblW w:w="4710" w:type="pct"/>
        <w:tblLayout w:type="fixed"/>
        <w:tblCellMar>
          <w:top w:w="57" w:type="dxa"/>
          <w:left w:w="57" w:type="dxa"/>
          <w:bottom w:w="57" w:type="dxa"/>
          <w:right w:w="57" w:type="dxa"/>
        </w:tblCellMar>
        <w:tblLook w:val="04A0" w:firstRow="1" w:lastRow="0" w:firstColumn="1" w:lastColumn="0" w:noHBand="0" w:noVBand="1"/>
        <w:tblCaption w:val="Shows name of instrument, enabling legislation and status."/>
      </w:tblPr>
      <w:tblGrid>
        <w:gridCol w:w="3141"/>
        <w:gridCol w:w="2298"/>
        <w:gridCol w:w="1778"/>
      </w:tblGrid>
      <w:tr w:rsidR="00E027D3" w:rsidRPr="00E027D3" w14:paraId="51EBA78B" w14:textId="77777777" w:rsidTr="00BE6916">
        <w:trPr>
          <w:tblHeader/>
        </w:trPr>
        <w:tc>
          <w:tcPr>
            <w:tcW w:w="2176" w:type="pct"/>
            <w:shd w:val="clear" w:color="auto" w:fill="404040" w:themeFill="text1" w:themeFillTint="BF"/>
          </w:tcPr>
          <w:p w14:paraId="5FC84D78" w14:textId="77777777" w:rsidR="00E027D3" w:rsidRPr="00BE6916" w:rsidRDefault="00E027D3" w:rsidP="00B747E1">
            <w:pPr>
              <w:pStyle w:val="TableHeading"/>
            </w:pPr>
            <w:r w:rsidRPr="00BE6916">
              <w:t>Instrument</w:t>
            </w:r>
          </w:p>
        </w:tc>
        <w:tc>
          <w:tcPr>
            <w:tcW w:w="1592" w:type="pct"/>
            <w:shd w:val="clear" w:color="auto" w:fill="404040" w:themeFill="text1" w:themeFillTint="BF"/>
          </w:tcPr>
          <w:p w14:paraId="2250ED9B" w14:textId="77777777" w:rsidR="00E027D3" w:rsidRPr="00BE6916" w:rsidRDefault="00E027D3" w:rsidP="00B747E1">
            <w:pPr>
              <w:pStyle w:val="TableHeading"/>
            </w:pPr>
            <w:r w:rsidRPr="00BE6916">
              <w:t>Enabling provision</w:t>
            </w:r>
          </w:p>
        </w:tc>
        <w:tc>
          <w:tcPr>
            <w:tcW w:w="1233" w:type="pct"/>
            <w:shd w:val="clear" w:color="auto" w:fill="404040" w:themeFill="text1" w:themeFillTint="BF"/>
          </w:tcPr>
          <w:p w14:paraId="15B81433" w14:textId="77777777" w:rsidR="00E027D3" w:rsidRPr="00BE6916" w:rsidRDefault="00E027D3" w:rsidP="00B747E1">
            <w:pPr>
              <w:pStyle w:val="TableHeading"/>
            </w:pPr>
            <w:r w:rsidRPr="00BE6916">
              <w:t>Status</w:t>
            </w:r>
          </w:p>
        </w:tc>
      </w:tr>
      <w:tr w:rsidR="00E027D3" w:rsidRPr="00A76A7A" w14:paraId="62D4A156" w14:textId="77777777" w:rsidTr="00E027D3">
        <w:tc>
          <w:tcPr>
            <w:tcW w:w="2176" w:type="pct"/>
            <w:shd w:val="clear" w:color="auto" w:fill="auto"/>
          </w:tcPr>
          <w:p w14:paraId="5887501E" w14:textId="77777777" w:rsidR="00E027D3" w:rsidRPr="005759E7" w:rsidRDefault="00E027D3" w:rsidP="00445F0B">
            <w:pPr>
              <w:spacing w:after="0"/>
              <w:rPr>
                <w:rFonts w:cs="Arial"/>
                <w:color w:val="000000"/>
                <w:szCs w:val="20"/>
              </w:rPr>
            </w:pPr>
            <w:r w:rsidRPr="005759E7">
              <w:rPr>
                <w:rFonts w:cs="Arial"/>
                <w:color w:val="000000"/>
                <w:szCs w:val="20"/>
              </w:rPr>
              <w:t>Radiocommunications (Devices Used in the Inshore Boating Radio Services Band) Standard 2008</w:t>
            </w:r>
          </w:p>
        </w:tc>
        <w:tc>
          <w:tcPr>
            <w:tcW w:w="1592" w:type="pct"/>
            <w:shd w:val="clear" w:color="auto" w:fill="auto"/>
          </w:tcPr>
          <w:p w14:paraId="5A1979D2" w14:textId="77777777" w:rsidR="00E027D3" w:rsidRPr="005759E7" w:rsidRDefault="00E027D3" w:rsidP="00445F0B">
            <w:pPr>
              <w:spacing w:after="0"/>
              <w:rPr>
                <w:rFonts w:cs="Arial"/>
                <w:i/>
                <w:color w:val="000000"/>
                <w:szCs w:val="20"/>
              </w:rPr>
            </w:pPr>
            <w:r w:rsidRPr="005759E7">
              <w:rPr>
                <w:rFonts w:cs="Arial"/>
                <w:i/>
                <w:color w:val="000000"/>
                <w:szCs w:val="20"/>
              </w:rPr>
              <w:t>Radiocommunications Act 1992</w:t>
            </w:r>
            <w:r w:rsidRPr="005759E7">
              <w:rPr>
                <w:rFonts w:cs="Arial"/>
                <w:color w:val="000000"/>
                <w:szCs w:val="20"/>
              </w:rPr>
              <w:t xml:space="preserve"> — s 162(1)</w:t>
            </w:r>
          </w:p>
        </w:tc>
        <w:tc>
          <w:tcPr>
            <w:tcW w:w="1233" w:type="pct"/>
            <w:shd w:val="clear" w:color="auto" w:fill="auto"/>
          </w:tcPr>
          <w:p w14:paraId="1E634ED9" w14:textId="77777777" w:rsidR="00E027D3" w:rsidRPr="005759E7" w:rsidRDefault="00E027D3" w:rsidP="00D038FC">
            <w:pPr>
              <w:spacing w:after="0"/>
              <w:rPr>
                <w:rFonts w:cs="Arial"/>
                <w:szCs w:val="20"/>
              </w:rPr>
            </w:pPr>
            <w:r w:rsidRPr="005759E7">
              <w:rPr>
                <w:rFonts w:cs="Arial"/>
                <w:szCs w:val="20"/>
              </w:rPr>
              <w:t xml:space="preserve">Authority remade </w:t>
            </w:r>
            <w:r w:rsidR="00D038FC">
              <w:rPr>
                <w:rFonts w:cs="Arial"/>
                <w:szCs w:val="20"/>
              </w:rPr>
              <w:t xml:space="preserve">a new </w:t>
            </w:r>
            <w:r w:rsidRPr="005759E7">
              <w:rPr>
                <w:rFonts w:cs="Arial"/>
                <w:szCs w:val="20"/>
              </w:rPr>
              <w:t>standard on 17 August 2017</w:t>
            </w:r>
          </w:p>
        </w:tc>
      </w:tr>
      <w:tr w:rsidR="00E027D3" w:rsidRPr="00A76A7A" w14:paraId="4213F612" w14:textId="77777777" w:rsidTr="009D0090">
        <w:tc>
          <w:tcPr>
            <w:tcW w:w="2176" w:type="pct"/>
            <w:shd w:val="clear" w:color="auto" w:fill="auto"/>
          </w:tcPr>
          <w:p w14:paraId="123E5D87" w14:textId="77777777" w:rsidR="00E027D3" w:rsidRPr="005759E7" w:rsidRDefault="00E027D3" w:rsidP="00F72652">
            <w:pPr>
              <w:spacing w:after="0"/>
              <w:rPr>
                <w:rFonts w:cs="Arial"/>
                <w:color w:val="000000"/>
                <w:szCs w:val="20"/>
              </w:rPr>
            </w:pPr>
            <w:r w:rsidRPr="005759E7">
              <w:rPr>
                <w:rFonts w:cs="Arial"/>
                <w:color w:val="000000"/>
                <w:szCs w:val="20"/>
              </w:rPr>
              <w:t>Radiocommunications (HF CB and Handphone Equipment) Standard 2008</w:t>
            </w:r>
          </w:p>
        </w:tc>
        <w:tc>
          <w:tcPr>
            <w:tcW w:w="1592" w:type="pct"/>
            <w:shd w:val="clear" w:color="auto" w:fill="auto"/>
          </w:tcPr>
          <w:p w14:paraId="7D96AC20" w14:textId="77777777" w:rsidR="00E027D3" w:rsidRPr="005759E7" w:rsidRDefault="00E027D3" w:rsidP="00F72652">
            <w:pPr>
              <w:spacing w:after="0"/>
              <w:rPr>
                <w:rFonts w:cs="Arial"/>
                <w:color w:val="000000"/>
                <w:szCs w:val="20"/>
              </w:rPr>
            </w:pPr>
            <w:r w:rsidRPr="005759E7">
              <w:rPr>
                <w:rFonts w:cs="Arial"/>
                <w:i/>
                <w:color w:val="000000"/>
                <w:szCs w:val="20"/>
              </w:rPr>
              <w:t>Radiocommunications Act 1992</w:t>
            </w:r>
            <w:r w:rsidRPr="005759E7">
              <w:rPr>
                <w:rFonts w:cs="Arial"/>
                <w:color w:val="000000"/>
                <w:szCs w:val="20"/>
              </w:rPr>
              <w:t xml:space="preserve"> — s 162(1)</w:t>
            </w:r>
          </w:p>
        </w:tc>
        <w:tc>
          <w:tcPr>
            <w:tcW w:w="1233" w:type="pct"/>
            <w:shd w:val="clear" w:color="auto" w:fill="auto"/>
          </w:tcPr>
          <w:p w14:paraId="18564EA6" w14:textId="77777777" w:rsidR="00E027D3" w:rsidRPr="005759E7" w:rsidRDefault="00E027D3" w:rsidP="00D038FC">
            <w:pPr>
              <w:spacing w:after="0"/>
              <w:rPr>
                <w:rFonts w:cs="Arial"/>
                <w:szCs w:val="20"/>
              </w:rPr>
            </w:pPr>
            <w:r w:rsidRPr="005759E7">
              <w:rPr>
                <w:rFonts w:cs="Arial"/>
                <w:szCs w:val="20"/>
              </w:rPr>
              <w:t xml:space="preserve">Authority remade </w:t>
            </w:r>
            <w:r w:rsidR="00D038FC">
              <w:rPr>
                <w:rFonts w:cs="Arial"/>
                <w:szCs w:val="20"/>
              </w:rPr>
              <w:t xml:space="preserve">a new </w:t>
            </w:r>
            <w:r w:rsidRPr="005759E7">
              <w:rPr>
                <w:rFonts w:cs="Arial"/>
                <w:szCs w:val="20"/>
              </w:rPr>
              <w:t>standard on 17 August 2017</w:t>
            </w:r>
          </w:p>
        </w:tc>
      </w:tr>
      <w:tr w:rsidR="00E027D3" w:rsidRPr="00A76A7A" w14:paraId="31AF9B7F" w14:textId="77777777" w:rsidTr="00E027D3">
        <w:tc>
          <w:tcPr>
            <w:tcW w:w="2176" w:type="pct"/>
            <w:shd w:val="clear" w:color="auto" w:fill="auto"/>
          </w:tcPr>
          <w:p w14:paraId="12D3DA1F" w14:textId="77777777" w:rsidR="00E027D3" w:rsidRPr="005759E7" w:rsidRDefault="00E027D3" w:rsidP="0044524E">
            <w:pPr>
              <w:spacing w:after="0"/>
              <w:rPr>
                <w:rFonts w:cs="Arial"/>
                <w:color w:val="000000"/>
                <w:szCs w:val="20"/>
              </w:rPr>
            </w:pPr>
            <w:r w:rsidRPr="005759E7">
              <w:rPr>
                <w:rFonts w:cs="Arial"/>
                <w:color w:val="000000"/>
                <w:szCs w:val="20"/>
              </w:rPr>
              <w:t>Radiocommunications Advisory Guidelines (Co-ordinating the operation of transmitters in the 500 MHz Bands)</w:t>
            </w:r>
          </w:p>
        </w:tc>
        <w:tc>
          <w:tcPr>
            <w:tcW w:w="1592" w:type="pct"/>
            <w:shd w:val="clear" w:color="auto" w:fill="auto"/>
          </w:tcPr>
          <w:p w14:paraId="646398F9" w14:textId="77777777" w:rsidR="00E027D3" w:rsidRPr="005759E7" w:rsidRDefault="00E027D3" w:rsidP="0044524E">
            <w:pPr>
              <w:spacing w:after="0"/>
              <w:rPr>
                <w:rFonts w:cs="Arial"/>
                <w:i/>
                <w:color w:val="000000"/>
                <w:szCs w:val="20"/>
              </w:rPr>
            </w:pPr>
            <w:r w:rsidRPr="005759E7">
              <w:rPr>
                <w:rFonts w:cs="Arial"/>
                <w:i/>
                <w:color w:val="000000"/>
                <w:szCs w:val="20"/>
              </w:rPr>
              <w:t>Radiocommunications Act 1992</w:t>
            </w:r>
            <w:r w:rsidRPr="005759E7">
              <w:rPr>
                <w:rFonts w:cs="Arial"/>
                <w:color w:val="000000"/>
                <w:szCs w:val="20"/>
              </w:rPr>
              <w:t xml:space="preserve"> — s 262(1)</w:t>
            </w:r>
          </w:p>
        </w:tc>
        <w:tc>
          <w:tcPr>
            <w:tcW w:w="1233" w:type="pct"/>
            <w:shd w:val="clear" w:color="auto" w:fill="auto"/>
          </w:tcPr>
          <w:p w14:paraId="5BF06DC2" w14:textId="77777777" w:rsidR="00E027D3" w:rsidRPr="005759E7" w:rsidRDefault="00E027D3" w:rsidP="0044524E">
            <w:pPr>
              <w:spacing w:after="0"/>
              <w:rPr>
                <w:rFonts w:cs="Arial"/>
                <w:szCs w:val="20"/>
              </w:rPr>
            </w:pPr>
            <w:r w:rsidRPr="005759E7">
              <w:rPr>
                <w:rFonts w:cs="Arial"/>
                <w:szCs w:val="20"/>
              </w:rPr>
              <w:t>Revoked by Authority resolution on 6 March 2014</w:t>
            </w:r>
          </w:p>
        </w:tc>
      </w:tr>
    </w:tbl>
    <w:p w14:paraId="38ED1FD1" w14:textId="77777777" w:rsidR="00B94C86" w:rsidRDefault="00B94C86" w:rsidP="005759E7">
      <w:pPr>
        <w:pStyle w:val="ACMASpaceaftertable"/>
      </w:pPr>
    </w:p>
    <w:p w14:paraId="7BEA761B" w14:textId="77777777" w:rsidR="006259E4" w:rsidRPr="004B37A3" w:rsidRDefault="006259E4" w:rsidP="005759E7">
      <w:pPr>
        <w:pStyle w:val="Heading2"/>
      </w:pPr>
      <w:bookmarkStart w:id="601" w:name="_Toc522794144"/>
      <w:bookmarkStart w:id="602" w:name="_Toc524517155"/>
      <w:bookmarkStart w:id="603" w:name="_Toc461445519"/>
      <w:bookmarkStart w:id="604" w:name="_Toc463351357"/>
      <w:bookmarkStart w:id="605" w:name="_Toc491854139"/>
      <w:bookmarkStart w:id="606" w:name="_Toc494115205"/>
      <w:r w:rsidRPr="00FC654E">
        <w:t xml:space="preserve">Thematic review </w:t>
      </w:r>
      <w:r w:rsidR="00402652">
        <w:t>of sunsetting instruments</w:t>
      </w:r>
      <w:bookmarkEnd w:id="601"/>
      <w:bookmarkEnd w:id="602"/>
    </w:p>
    <w:p w14:paraId="6CC1DA33" w14:textId="77777777" w:rsidR="0060293D" w:rsidRPr="00A76A7A" w:rsidRDefault="0060293D" w:rsidP="005759E7">
      <w:r w:rsidRPr="009C75E3">
        <w:t xml:space="preserve">The ACMA and </w:t>
      </w:r>
      <w:r w:rsidR="00A76A7A">
        <w:t>DoCA</w:t>
      </w:r>
      <w:r w:rsidRPr="009C75E3">
        <w:t xml:space="preserve"> applied to the Attorney-General to align the sunsetting dates of </w:t>
      </w:r>
      <w:r>
        <w:t xml:space="preserve">21 </w:t>
      </w:r>
      <w:r w:rsidRPr="009C75E3">
        <w:t>instruments relevant to spectrum management processes, resulting in a new sunsetting date for them of 1 April 2023.</w:t>
      </w:r>
      <w:r w:rsidR="00447762">
        <w:t xml:space="preserve"> </w:t>
      </w:r>
    </w:p>
    <w:p w14:paraId="63DCC20C" w14:textId="77777777" w:rsidR="0060293D" w:rsidRPr="005759E7" w:rsidRDefault="0060293D" w:rsidP="00CF1BE6">
      <w:r w:rsidRPr="005759E7">
        <w:t xml:space="preserve">This new sunsetting date allows </w:t>
      </w:r>
      <w:r w:rsidR="00A76A7A">
        <w:t>DoCA</w:t>
      </w:r>
      <w:r w:rsidRPr="005759E7">
        <w:t xml:space="preserve"> and</w:t>
      </w:r>
      <w:r w:rsidR="00B60B11" w:rsidRPr="005759E7">
        <w:t xml:space="preserve"> the ACMA to undertake a review</w:t>
      </w:r>
      <w:r w:rsidRPr="005759E7">
        <w:t xml:space="preserve"> and implement its findings in preparation for th</w:t>
      </w:r>
      <w:r w:rsidR="00B60B11" w:rsidRPr="005759E7">
        <w:t xml:space="preserve">e proposed new </w:t>
      </w:r>
      <w:r w:rsidR="00972721">
        <w:t>Radiocommunications</w:t>
      </w:r>
      <w:r w:rsidR="00972721" w:rsidRPr="005759E7">
        <w:t xml:space="preserve"> </w:t>
      </w:r>
      <w:r w:rsidR="00B60B11" w:rsidRPr="005759E7">
        <w:t xml:space="preserve">Act, </w:t>
      </w:r>
      <w:r w:rsidR="00972721">
        <w:t xml:space="preserve">Radiocommunications </w:t>
      </w:r>
      <w:r w:rsidRPr="005759E7">
        <w:t>Tax</w:t>
      </w:r>
      <w:r w:rsidR="00F84DD4">
        <w:t>ation</w:t>
      </w:r>
      <w:r w:rsidRPr="005759E7">
        <w:t xml:space="preserve"> Act and the proposed new spectrum management framework.</w:t>
      </w:r>
    </w:p>
    <w:p w14:paraId="270D3960" w14:textId="77777777" w:rsidR="008E7142" w:rsidRPr="005759E7" w:rsidRDefault="008E7142" w:rsidP="005759E7">
      <w:r w:rsidRPr="005759E7">
        <w:t>The Legislation (Radiocommunications Instruments) Sunset-altering Declaration 2018</w:t>
      </w:r>
      <w:r w:rsidR="00A76A7A">
        <w:t>,</w:t>
      </w:r>
      <w:r w:rsidRPr="005759E7">
        <w:t xml:space="preserve"> </w:t>
      </w:r>
      <w:r w:rsidRPr="00A76A7A">
        <w:t xml:space="preserve">made </w:t>
      </w:r>
      <w:r w:rsidRPr="009C75E3">
        <w:t xml:space="preserve">under section 51A of the </w:t>
      </w:r>
      <w:r w:rsidRPr="00A76A7A">
        <w:rPr>
          <w:i/>
        </w:rPr>
        <w:t>Legislation Act 2003</w:t>
      </w:r>
      <w:r w:rsidR="00A76A7A">
        <w:t>,</w:t>
      </w:r>
      <w:r w:rsidRPr="00A76A7A">
        <w:t xml:space="preserve"> gives effect to this change.</w:t>
      </w:r>
    </w:p>
    <w:p w14:paraId="415EEABF" w14:textId="4CBE4D8E" w:rsidR="00B60B11" w:rsidRPr="005759E7" w:rsidRDefault="00B60B11" w:rsidP="005759E7">
      <w:r w:rsidRPr="005759E7">
        <w:t xml:space="preserve">The instruments </w:t>
      </w:r>
      <w:r w:rsidR="00AC5626" w:rsidRPr="005759E7">
        <w:t>administ</w:t>
      </w:r>
      <w:r w:rsidR="00AC5626">
        <w:t>ered</w:t>
      </w:r>
      <w:r w:rsidR="00AC5626" w:rsidRPr="005759E7">
        <w:t xml:space="preserve"> </w:t>
      </w:r>
      <w:r w:rsidRPr="005759E7">
        <w:t xml:space="preserve">by </w:t>
      </w:r>
      <w:r w:rsidR="00A76A7A">
        <w:t>DoCA</w:t>
      </w:r>
      <w:r w:rsidRPr="005759E7">
        <w:t xml:space="preserve"> are at </w:t>
      </w:r>
      <w:r w:rsidR="009909CD" w:rsidRPr="005759E7">
        <w:t>Table</w:t>
      </w:r>
      <w:r w:rsidR="00A01828" w:rsidRPr="005759E7">
        <w:t xml:space="preserve"> 1</w:t>
      </w:r>
      <w:r w:rsidR="00CF1BE6">
        <w:t>8</w:t>
      </w:r>
      <w:r w:rsidRPr="005759E7">
        <w:t xml:space="preserve">, with the related instruments </w:t>
      </w:r>
      <w:r w:rsidR="00AC5626" w:rsidRPr="005759E7">
        <w:t>administ</w:t>
      </w:r>
      <w:r w:rsidR="00AC5626">
        <w:t>ered</w:t>
      </w:r>
      <w:r w:rsidR="00AC5626" w:rsidRPr="005759E7">
        <w:t xml:space="preserve"> </w:t>
      </w:r>
      <w:r w:rsidRPr="005759E7">
        <w:t xml:space="preserve">by the ACMA at </w:t>
      </w:r>
      <w:r w:rsidR="009909CD" w:rsidRPr="005759E7">
        <w:t xml:space="preserve">Table </w:t>
      </w:r>
      <w:r w:rsidR="00CF1BE6">
        <w:t>19</w:t>
      </w:r>
      <w:r w:rsidR="003E4A13" w:rsidRPr="005759E7">
        <w:t>.</w:t>
      </w:r>
      <w:r w:rsidR="00447762">
        <w:t xml:space="preserve"> </w:t>
      </w:r>
    </w:p>
    <w:p w14:paraId="7160772D" w14:textId="77777777" w:rsidR="00A01828" w:rsidRPr="00FC5BF2" w:rsidRDefault="00A01828" w:rsidP="00CF1BE6">
      <w:pPr>
        <w:pStyle w:val="ACMATableHeader"/>
      </w:pPr>
      <w:r w:rsidRPr="00CF1BE6">
        <w:t>Sunsetting</w:t>
      </w:r>
      <w:r w:rsidRPr="00A01828">
        <w:t xml:space="preserve"> instruments administered by </w:t>
      </w:r>
      <w:r w:rsidR="00A76A7A">
        <w:t>DoCA—</w:t>
      </w:r>
      <w:r w:rsidRPr="00A01828">
        <w:t>new sunsetting date 1 April 2023</w:t>
      </w:r>
    </w:p>
    <w:tbl>
      <w:tblPr>
        <w:tblW w:w="76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697"/>
      </w:tblGrid>
      <w:tr w:rsidR="00B60B11" w:rsidRPr="00A76A7A" w14:paraId="040A08CA" w14:textId="77777777" w:rsidTr="005759E7">
        <w:trPr>
          <w:trHeight w:val="214"/>
        </w:trPr>
        <w:tc>
          <w:tcPr>
            <w:tcW w:w="7697" w:type="dxa"/>
            <w:tcBorders>
              <w:right w:val="single" w:sz="4" w:space="0" w:color="auto"/>
            </w:tcBorders>
            <w:shd w:val="clear" w:color="auto" w:fill="404040" w:themeFill="text1" w:themeFillTint="BF"/>
          </w:tcPr>
          <w:p w14:paraId="1CC8F8BA" w14:textId="77777777" w:rsidR="00B60B11" w:rsidRPr="005759E7" w:rsidRDefault="00A76A7A" w:rsidP="00B747E1">
            <w:pPr>
              <w:pStyle w:val="TableHeading"/>
            </w:pPr>
            <w:r w:rsidRPr="005759E7">
              <w:rPr>
                <w:w w:val="105"/>
              </w:rPr>
              <w:t xml:space="preserve">Legislation title </w:t>
            </w:r>
          </w:p>
          <w:p w14:paraId="64FAC951" w14:textId="77777777" w:rsidR="00B60B11" w:rsidRPr="00964F02" w:rsidRDefault="00B60B11" w:rsidP="00A76A7A">
            <w:pPr>
              <w:pStyle w:val="TableParagraph"/>
              <w:spacing w:before="0" w:line="46" w:lineRule="exact"/>
              <w:ind w:left="0" w:right="446"/>
              <w:jc w:val="center"/>
              <w:rPr>
                <w:i/>
                <w:color w:val="FFFFFF" w:themeColor="background1"/>
                <w:sz w:val="20"/>
                <w:szCs w:val="20"/>
                <w:lang w:val="en-AU"/>
              </w:rPr>
            </w:pPr>
            <w:r w:rsidRPr="00964F02">
              <w:rPr>
                <w:i/>
                <w:color w:val="FFFFFF" w:themeColor="background1"/>
                <w:w w:val="106"/>
                <w:sz w:val="20"/>
                <w:szCs w:val="20"/>
                <w:lang w:val="en-AU"/>
              </w:rPr>
              <w:t>:</w:t>
            </w:r>
          </w:p>
        </w:tc>
      </w:tr>
      <w:tr w:rsidR="00B60B11" w:rsidRPr="00A76A7A" w14:paraId="7E92B550" w14:textId="77777777" w:rsidTr="005759E7">
        <w:trPr>
          <w:trHeight w:val="282"/>
        </w:trPr>
        <w:tc>
          <w:tcPr>
            <w:tcW w:w="7697" w:type="dxa"/>
            <w:tcBorders>
              <w:right w:val="single" w:sz="4" w:space="0" w:color="auto"/>
            </w:tcBorders>
          </w:tcPr>
          <w:p w14:paraId="691FA891" w14:textId="77777777" w:rsidR="00B60B11" w:rsidRPr="00FF131C" w:rsidRDefault="00B60B11" w:rsidP="005759E7">
            <w:pPr>
              <w:spacing w:after="0"/>
            </w:pPr>
            <w:r w:rsidRPr="00FF131C">
              <w:t>Radiocommunications Taxes Collection Regulations 1985</w:t>
            </w:r>
          </w:p>
        </w:tc>
      </w:tr>
      <w:tr w:rsidR="00A27742" w:rsidRPr="00A76A7A" w14:paraId="25BC137E" w14:textId="77777777" w:rsidTr="00A27742">
        <w:trPr>
          <w:trHeight w:val="160"/>
        </w:trPr>
        <w:tc>
          <w:tcPr>
            <w:tcW w:w="7697" w:type="dxa"/>
            <w:tcBorders>
              <w:right w:val="single" w:sz="4" w:space="0" w:color="auto"/>
            </w:tcBorders>
            <w:shd w:val="clear" w:color="auto" w:fill="auto"/>
          </w:tcPr>
          <w:p w14:paraId="4DCBFD2A" w14:textId="77777777" w:rsidR="00A27742" w:rsidRPr="00FF131C" w:rsidRDefault="00A27742" w:rsidP="00A27742">
            <w:pPr>
              <w:spacing w:after="0"/>
            </w:pPr>
            <w:r w:rsidRPr="00FF131C">
              <w:t>Radiocommunications Regulations 1993</w:t>
            </w:r>
          </w:p>
        </w:tc>
      </w:tr>
      <w:tr w:rsidR="00A27742" w:rsidRPr="00A76A7A" w14:paraId="5258DBA1" w14:textId="77777777" w:rsidTr="00A27742">
        <w:trPr>
          <w:trHeight w:val="160"/>
        </w:trPr>
        <w:tc>
          <w:tcPr>
            <w:tcW w:w="7697" w:type="dxa"/>
            <w:tcBorders>
              <w:right w:val="single" w:sz="4" w:space="0" w:color="auto"/>
            </w:tcBorders>
            <w:shd w:val="clear" w:color="auto" w:fill="auto"/>
          </w:tcPr>
          <w:p w14:paraId="3B449D71" w14:textId="77777777" w:rsidR="00A27742" w:rsidRPr="00FF131C" w:rsidRDefault="00A27742" w:rsidP="00A27742">
            <w:pPr>
              <w:spacing w:after="0"/>
            </w:pPr>
            <w:r w:rsidRPr="00FF131C">
              <w:t>Radiocommunications (Coordination) Regulations</w:t>
            </w:r>
          </w:p>
        </w:tc>
      </w:tr>
    </w:tbl>
    <w:p w14:paraId="35EE98B0" w14:textId="77777777" w:rsidR="00D365CA" w:rsidRDefault="00D365CA" w:rsidP="00FC654E">
      <w:pPr>
        <w:autoSpaceDE w:val="0"/>
        <w:autoSpaceDN w:val="0"/>
        <w:adjustRightInd w:val="0"/>
        <w:spacing w:before="120" w:after="0" w:line="240" w:lineRule="auto"/>
        <w:rPr>
          <w:rFonts w:cs="Arial"/>
          <w:szCs w:val="20"/>
        </w:rPr>
      </w:pPr>
    </w:p>
    <w:p w14:paraId="1D6472AE" w14:textId="77777777" w:rsidR="00A01828" w:rsidRDefault="00A01828" w:rsidP="00EF334B">
      <w:pPr>
        <w:pStyle w:val="ACMATableHeader"/>
        <w:keepNext/>
      </w:pPr>
      <w:r w:rsidRPr="00A01828">
        <w:lastRenderedPageBreak/>
        <w:t>Sunsetting instruments made by the ACMA</w:t>
      </w:r>
      <w:r w:rsidR="00A76A7A">
        <w:t>—</w:t>
      </w:r>
      <w:r w:rsidRPr="00A01828">
        <w:t xml:space="preserve">new sunsetting date </w:t>
      </w:r>
      <w:r w:rsidR="00A76A7A" w:rsidRPr="00A01828">
        <w:t>1</w:t>
      </w:r>
      <w:r w:rsidR="00A76A7A">
        <w:t> </w:t>
      </w:r>
      <w:r w:rsidRPr="00A01828">
        <w:t>April 2023</w:t>
      </w:r>
    </w:p>
    <w:tbl>
      <w:tblPr>
        <w:tblW w:w="7637"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637"/>
      </w:tblGrid>
      <w:tr w:rsidR="00B60B11" w14:paraId="0377C3D0" w14:textId="77777777" w:rsidTr="00BE6916">
        <w:trPr>
          <w:trHeight w:val="281"/>
        </w:trPr>
        <w:tc>
          <w:tcPr>
            <w:tcW w:w="7637" w:type="dxa"/>
            <w:tcBorders>
              <w:right w:val="single" w:sz="4" w:space="0" w:color="auto"/>
            </w:tcBorders>
            <w:shd w:val="clear" w:color="auto" w:fill="404040" w:themeFill="text1" w:themeFillTint="BF"/>
            <w:vAlign w:val="center"/>
          </w:tcPr>
          <w:p w14:paraId="31902F6A" w14:textId="77777777" w:rsidR="00B60B11" w:rsidRDefault="00B60B11" w:rsidP="00B747E1">
            <w:pPr>
              <w:pStyle w:val="TableHeading"/>
              <w:rPr>
                <w:sz w:val="18"/>
              </w:rPr>
            </w:pPr>
            <w:r w:rsidRPr="005759E7">
              <w:rPr>
                <w:w w:val="105"/>
              </w:rPr>
              <w:t>L</w:t>
            </w:r>
            <w:r w:rsidR="00A76A7A">
              <w:rPr>
                <w:w w:val="105"/>
              </w:rPr>
              <w:t>egislation title</w:t>
            </w:r>
          </w:p>
        </w:tc>
      </w:tr>
      <w:tr w:rsidR="00B60B11" w14:paraId="1D065B98" w14:textId="77777777" w:rsidTr="005759E7">
        <w:trPr>
          <w:trHeight w:val="191"/>
        </w:trPr>
        <w:tc>
          <w:tcPr>
            <w:tcW w:w="7637" w:type="dxa"/>
            <w:tcBorders>
              <w:right w:val="single" w:sz="4" w:space="0" w:color="auto"/>
            </w:tcBorders>
            <w:shd w:val="clear" w:color="auto" w:fill="F2F2F2" w:themeFill="background1" w:themeFillShade="F2"/>
            <w:vAlign w:val="center"/>
          </w:tcPr>
          <w:p w14:paraId="249FAEEC" w14:textId="77777777" w:rsidR="00B60B11" w:rsidRPr="00FF131C" w:rsidRDefault="00B60B11" w:rsidP="005759E7">
            <w:pPr>
              <w:spacing w:after="0"/>
            </w:pPr>
            <w:r w:rsidRPr="00FF131C">
              <w:t xml:space="preserve">Enabling Act: </w:t>
            </w:r>
            <w:r w:rsidRPr="00FF131C">
              <w:rPr>
                <w:i/>
              </w:rPr>
              <w:t>Radiocommunications Act 1992</w:t>
            </w:r>
          </w:p>
        </w:tc>
      </w:tr>
      <w:tr w:rsidR="00B60B11" w14:paraId="1C6FD689" w14:textId="77777777" w:rsidTr="005759E7">
        <w:trPr>
          <w:trHeight w:val="384"/>
        </w:trPr>
        <w:tc>
          <w:tcPr>
            <w:tcW w:w="7637" w:type="dxa"/>
            <w:tcBorders>
              <w:right w:val="single" w:sz="4" w:space="0" w:color="auto"/>
            </w:tcBorders>
          </w:tcPr>
          <w:p w14:paraId="17F4911D" w14:textId="77777777" w:rsidR="00B60B11" w:rsidRPr="00FF131C" w:rsidRDefault="00B60B11" w:rsidP="005759E7">
            <w:pPr>
              <w:spacing w:after="0"/>
            </w:pPr>
            <w:r w:rsidRPr="00FF131C">
              <w:t>Radiocommunications Advisory Guidelines (Use of Electronic Counter Measures for Bomb Disposal Activities) 2010</w:t>
            </w:r>
          </w:p>
        </w:tc>
      </w:tr>
      <w:tr w:rsidR="00B60B11" w14:paraId="75C00026" w14:textId="77777777" w:rsidTr="00BE6916">
        <w:trPr>
          <w:trHeight w:val="184"/>
        </w:trPr>
        <w:tc>
          <w:tcPr>
            <w:tcW w:w="7637" w:type="dxa"/>
          </w:tcPr>
          <w:p w14:paraId="098606D0" w14:textId="77777777" w:rsidR="00B60B11" w:rsidRPr="00FF131C" w:rsidRDefault="00B60B11" w:rsidP="005759E7">
            <w:pPr>
              <w:spacing w:after="0"/>
            </w:pPr>
            <w:r w:rsidRPr="00FF131C">
              <w:t>Radiocommunications Spectrum Marketing Plan (2.3 GHz Band) 2009</w:t>
            </w:r>
          </w:p>
        </w:tc>
      </w:tr>
      <w:tr w:rsidR="00B60B11" w14:paraId="686606AE" w14:textId="77777777" w:rsidTr="00BE6916">
        <w:trPr>
          <w:trHeight w:val="377"/>
        </w:trPr>
        <w:tc>
          <w:tcPr>
            <w:tcW w:w="7637" w:type="dxa"/>
          </w:tcPr>
          <w:p w14:paraId="61D2A08C" w14:textId="77777777" w:rsidR="00B60B11" w:rsidRPr="00FF131C" w:rsidRDefault="00B60B11" w:rsidP="005759E7">
            <w:pPr>
              <w:spacing w:after="0"/>
            </w:pPr>
            <w:r w:rsidRPr="00FF131C">
              <w:t>Radiocommunications (Prohibited Devices) (Use of Electronic Counter Measures for Bomb Disposal Activities) Exemption Determination 2010</w:t>
            </w:r>
          </w:p>
        </w:tc>
      </w:tr>
      <w:tr w:rsidR="00B60B11" w14:paraId="061A1A2E" w14:textId="77777777" w:rsidTr="00BE6916">
        <w:trPr>
          <w:trHeight w:val="178"/>
        </w:trPr>
        <w:tc>
          <w:tcPr>
            <w:tcW w:w="7637" w:type="dxa"/>
          </w:tcPr>
          <w:p w14:paraId="2D1B29AA" w14:textId="77777777" w:rsidR="00B60B11" w:rsidRPr="00FF131C" w:rsidRDefault="00B60B11" w:rsidP="005759E7">
            <w:pPr>
              <w:spacing w:after="0"/>
            </w:pPr>
            <w:r w:rsidRPr="00FF131C">
              <w:t>Radiocommunications (Prohibition of PMTS Jamming Devices) Declaration 2011</w:t>
            </w:r>
          </w:p>
        </w:tc>
      </w:tr>
      <w:tr w:rsidR="00B60B11" w14:paraId="4FAF0265" w14:textId="77777777" w:rsidTr="00BE6916">
        <w:trPr>
          <w:trHeight w:val="262"/>
        </w:trPr>
        <w:tc>
          <w:tcPr>
            <w:tcW w:w="7637" w:type="dxa"/>
          </w:tcPr>
          <w:p w14:paraId="326B0BC3" w14:textId="77777777" w:rsidR="00B60B11" w:rsidRPr="00FF131C" w:rsidRDefault="00B60B11" w:rsidP="005759E7">
            <w:pPr>
              <w:spacing w:after="0"/>
            </w:pPr>
            <w:r w:rsidRPr="00FF131C">
              <w:t>Radiocommunications (Mid-West Radio Quiet Zone) Frequency Band Plan 2011</w:t>
            </w:r>
          </w:p>
        </w:tc>
      </w:tr>
      <w:tr w:rsidR="00B60B11" w14:paraId="5D0C82CB" w14:textId="77777777" w:rsidTr="00BE6916">
        <w:trPr>
          <w:trHeight w:val="62"/>
        </w:trPr>
        <w:tc>
          <w:tcPr>
            <w:tcW w:w="7637" w:type="dxa"/>
          </w:tcPr>
          <w:p w14:paraId="07FBAC45" w14:textId="77777777" w:rsidR="00B60B11" w:rsidRPr="00FF131C" w:rsidRDefault="00B60B11" w:rsidP="005759E7">
            <w:pPr>
              <w:spacing w:after="0"/>
            </w:pPr>
            <w:r w:rsidRPr="00FF131C">
              <w:t>Radiocommunications (UHF CB Radio Equipment) Standard 2011 (No</w:t>
            </w:r>
            <w:r w:rsidRPr="00FF131C">
              <w:rPr>
                <w:color w:val="3F4141"/>
              </w:rPr>
              <w:t xml:space="preserve">. </w:t>
            </w:r>
            <w:r w:rsidRPr="00FF131C">
              <w:t>1)</w:t>
            </w:r>
          </w:p>
        </w:tc>
      </w:tr>
      <w:tr w:rsidR="00B60B11" w14:paraId="32F3207A" w14:textId="77777777" w:rsidTr="00BE6916">
        <w:trPr>
          <w:trHeight w:val="100"/>
        </w:trPr>
        <w:tc>
          <w:tcPr>
            <w:tcW w:w="7637" w:type="dxa"/>
          </w:tcPr>
          <w:p w14:paraId="44029AA2" w14:textId="77777777" w:rsidR="00B60B11" w:rsidRPr="00FF131C" w:rsidRDefault="00B60B11" w:rsidP="005759E7">
            <w:pPr>
              <w:spacing w:after="0"/>
            </w:pPr>
            <w:r w:rsidRPr="00FF131C">
              <w:t>1900-1920 MHz Frequency Band Plan 2012</w:t>
            </w:r>
          </w:p>
        </w:tc>
      </w:tr>
      <w:tr w:rsidR="00B60B11" w14:paraId="752602BA" w14:textId="77777777" w:rsidTr="00BE6916">
        <w:trPr>
          <w:trHeight w:val="308"/>
        </w:trPr>
        <w:tc>
          <w:tcPr>
            <w:tcW w:w="7637" w:type="dxa"/>
          </w:tcPr>
          <w:p w14:paraId="3431CA2D" w14:textId="77777777" w:rsidR="00B60B11" w:rsidRPr="00FF131C" w:rsidRDefault="00B60B11" w:rsidP="005759E7">
            <w:pPr>
              <w:spacing w:after="0"/>
            </w:pPr>
            <w:r w:rsidRPr="00FF131C">
              <w:t xml:space="preserve">Radiocommunications (PMTS Jamming Devices - Visiting Forces and Suppliers) Exemption Determination 2011 </w:t>
            </w:r>
          </w:p>
        </w:tc>
      </w:tr>
      <w:tr w:rsidR="00B60B11" w14:paraId="0F86941A" w14:textId="77777777" w:rsidTr="00BE6916">
        <w:trPr>
          <w:trHeight w:val="392"/>
        </w:trPr>
        <w:tc>
          <w:tcPr>
            <w:tcW w:w="7637" w:type="dxa"/>
          </w:tcPr>
          <w:p w14:paraId="4E43865E" w14:textId="77777777" w:rsidR="00B60B11" w:rsidRPr="00FF131C" w:rsidRDefault="00B60B11" w:rsidP="005759E7">
            <w:pPr>
              <w:spacing w:after="0"/>
            </w:pPr>
            <w:r w:rsidRPr="00FF131C">
              <w:t>Radiocommunications (Public Mobile Telecommunications Services Surveillance Device) Exemption Determination 2011</w:t>
            </w:r>
          </w:p>
        </w:tc>
      </w:tr>
      <w:tr w:rsidR="00B60B11" w14:paraId="5D9EC7F3" w14:textId="77777777" w:rsidTr="00BE6916">
        <w:trPr>
          <w:trHeight w:val="462"/>
        </w:trPr>
        <w:tc>
          <w:tcPr>
            <w:tcW w:w="7637" w:type="dxa"/>
          </w:tcPr>
          <w:p w14:paraId="38EC55A7" w14:textId="77777777" w:rsidR="00B60B11" w:rsidRPr="00FF131C" w:rsidRDefault="00B60B11" w:rsidP="00FF131C">
            <w:pPr>
              <w:spacing w:after="0"/>
            </w:pPr>
            <w:r w:rsidRPr="00FF131C">
              <w:t>Radiocommunications Licence Conditions (Aircraft Licence) Determination 2011 (No.</w:t>
            </w:r>
            <w:r w:rsidR="00FF131C">
              <w:t> </w:t>
            </w:r>
            <w:r w:rsidRPr="00FF131C">
              <w:t>1)</w:t>
            </w:r>
          </w:p>
        </w:tc>
      </w:tr>
      <w:tr w:rsidR="00DA41D4" w:rsidRPr="00765643" w14:paraId="01FD088C" w14:textId="77777777" w:rsidTr="005759E7">
        <w:trPr>
          <w:trHeight w:val="262"/>
        </w:trPr>
        <w:tc>
          <w:tcPr>
            <w:tcW w:w="7637" w:type="dxa"/>
            <w:tcBorders>
              <w:top w:val="single" w:sz="4" w:space="0" w:color="000000"/>
              <w:left w:val="single" w:sz="4" w:space="0" w:color="000000"/>
              <w:bottom w:val="single" w:sz="4" w:space="0" w:color="000000"/>
              <w:right w:val="single" w:sz="4" w:space="0" w:color="000000"/>
            </w:tcBorders>
          </w:tcPr>
          <w:p w14:paraId="2F699EC7" w14:textId="77777777" w:rsidR="00DA41D4" w:rsidRPr="00FF131C" w:rsidRDefault="00DA41D4" w:rsidP="005759E7">
            <w:pPr>
              <w:spacing w:after="0"/>
            </w:pPr>
            <w:r w:rsidRPr="00FF131C">
              <w:t>Television Outside Broadcast (1980-2110 MHz and 2170-2300 MHz) Frequency Band Plan 2012</w:t>
            </w:r>
          </w:p>
        </w:tc>
      </w:tr>
      <w:tr w:rsidR="00DA41D4" w:rsidRPr="00765643" w14:paraId="4A13F191" w14:textId="77777777" w:rsidTr="005759E7">
        <w:trPr>
          <w:trHeight w:val="346"/>
        </w:trPr>
        <w:tc>
          <w:tcPr>
            <w:tcW w:w="7637" w:type="dxa"/>
            <w:tcBorders>
              <w:top w:val="single" w:sz="4" w:space="0" w:color="000000"/>
              <w:left w:val="single" w:sz="4" w:space="0" w:color="000000"/>
              <w:bottom w:val="single" w:sz="4" w:space="0" w:color="000000"/>
              <w:right w:val="single" w:sz="4" w:space="0" w:color="000000"/>
            </w:tcBorders>
          </w:tcPr>
          <w:p w14:paraId="633D8493" w14:textId="77777777" w:rsidR="00DA41D4" w:rsidRPr="00FF131C" w:rsidRDefault="00DA41D4" w:rsidP="005759E7">
            <w:pPr>
              <w:spacing w:after="0"/>
            </w:pPr>
            <w:r w:rsidRPr="00FF131C">
              <w:t>Radiocommunications (118</w:t>
            </w:r>
            <w:r w:rsidR="00FB75A6" w:rsidRPr="00FF131C">
              <w:t xml:space="preserve"> </w:t>
            </w:r>
            <w:r w:rsidRPr="00FF131C">
              <w:t>MHz to 137</w:t>
            </w:r>
            <w:r w:rsidR="00FB75A6" w:rsidRPr="00FF131C">
              <w:t xml:space="preserve"> </w:t>
            </w:r>
            <w:r w:rsidRPr="00FF131C">
              <w:t>MHz Amplitude Modulated Equipment — Aeronautical Radio Service) Standard 2012</w:t>
            </w:r>
          </w:p>
        </w:tc>
      </w:tr>
      <w:tr w:rsidR="00DA41D4" w:rsidRPr="00765643" w14:paraId="4A829385" w14:textId="77777777" w:rsidTr="005759E7">
        <w:trPr>
          <w:trHeight w:val="429"/>
        </w:trPr>
        <w:tc>
          <w:tcPr>
            <w:tcW w:w="7637" w:type="dxa"/>
            <w:tcBorders>
              <w:top w:val="single" w:sz="4" w:space="0" w:color="000000"/>
              <w:left w:val="single" w:sz="4" w:space="0" w:color="000000"/>
              <w:bottom w:val="single" w:sz="4" w:space="0" w:color="000000"/>
              <w:right w:val="single" w:sz="4" w:space="0" w:color="000000"/>
            </w:tcBorders>
          </w:tcPr>
          <w:p w14:paraId="7A27234F" w14:textId="77777777" w:rsidR="00DA41D4" w:rsidRPr="00FF131C" w:rsidRDefault="00DA41D4" w:rsidP="005759E7">
            <w:pPr>
              <w:spacing w:after="0"/>
            </w:pPr>
            <w:r w:rsidRPr="00FF131C">
              <w:t>Radiocommunications Advisory Guidelines (Managing Interference from Spectrum Licensed Transmitters – 800 MHz Band) 2012</w:t>
            </w:r>
          </w:p>
        </w:tc>
      </w:tr>
      <w:tr w:rsidR="00DA41D4" w:rsidRPr="00765643" w14:paraId="6A1947C9" w14:textId="77777777" w:rsidTr="005759E7">
        <w:trPr>
          <w:trHeight w:val="357"/>
        </w:trPr>
        <w:tc>
          <w:tcPr>
            <w:tcW w:w="7637" w:type="dxa"/>
            <w:tcBorders>
              <w:top w:val="single" w:sz="4" w:space="0" w:color="000000"/>
              <w:left w:val="single" w:sz="4" w:space="0" w:color="000000"/>
              <w:bottom w:val="single" w:sz="4" w:space="0" w:color="000000"/>
              <w:right w:val="single" w:sz="4" w:space="0" w:color="000000"/>
            </w:tcBorders>
          </w:tcPr>
          <w:p w14:paraId="0E623F0B" w14:textId="77777777" w:rsidR="00DA41D4" w:rsidRPr="00FF131C" w:rsidRDefault="00DA41D4" w:rsidP="005759E7">
            <w:pPr>
              <w:spacing w:after="0"/>
            </w:pPr>
            <w:r w:rsidRPr="00FF131C">
              <w:t>Radiocommunications Advisory Guidelines (Managing Interference to Spectrum Licensed Receivers - 800 MHz Band) 2012</w:t>
            </w:r>
          </w:p>
        </w:tc>
      </w:tr>
      <w:tr w:rsidR="00DA41D4" w:rsidRPr="00765643" w14:paraId="4C19D25E" w14:textId="77777777" w:rsidTr="005759E7">
        <w:trPr>
          <w:trHeight w:val="299"/>
        </w:trPr>
        <w:tc>
          <w:tcPr>
            <w:tcW w:w="7637" w:type="dxa"/>
            <w:tcBorders>
              <w:top w:val="single" w:sz="4" w:space="0" w:color="000000"/>
              <w:left w:val="single" w:sz="4" w:space="0" w:color="000000"/>
              <w:bottom w:val="single" w:sz="4" w:space="0" w:color="000000"/>
              <w:right w:val="single" w:sz="4" w:space="0" w:color="000000"/>
            </w:tcBorders>
          </w:tcPr>
          <w:p w14:paraId="66E3CC19" w14:textId="77777777" w:rsidR="00DA41D4" w:rsidRPr="00FF131C" w:rsidRDefault="00DA41D4" w:rsidP="005759E7">
            <w:pPr>
              <w:spacing w:after="0"/>
            </w:pPr>
            <w:r w:rsidRPr="00FF131C">
              <w:t>Radiocommunications (Digital Radio Multiplex Transmitter Licences - Application Fee) Determination 2012</w:t>
            </w:r>
          </w:p>
        </w:tc>
      </w:tr>
      <w:tr w:rsidR="00DA41D4" w:rsidRPr="00765643" w14:paraId="72C26533" w14:textId="77777777" w:rsidTr="005759E7">
        <w:trPr>
          <w:trHeight w:val="241"/>
        </w:trPr>
        <w:tc>
          <w:tcPr>
            <w:tcW w:w="7637" w:type="dxa"/>
            <w:tcBorders>
              <w:top w:val="single" w:sz="4" w:space="0" w:color="000000"/>
              <w:left w:val="single" w:sz="4" w:space="0" w:color="000000"/>
              <w:bottom w:val="single" w:sz="4" w:space="0" w:color="000000"/>
              <w:right w:val="single" w:sz="4" w:space="0" w:color="000000"/>
            </w:tcBorders>
          </w:tcPr>
          <w:p w14:paraId="15A84096" w14:textId="77777777" w:rsidR="00DA41D4" w:rsidRPr="00FF131C" w:rsidRDefault="00DA41D4" w:rsidP="005759E7">
            <w:pPr>
              <w:spacing w:after="0"/>
            </w:pPr>
            <w:r w:rsidRPr="00FF131C">
              <w:t>Radiocommunications (subsection 145(3) Certificates) Determination 2012</w:t>
            </w:r>
          </w:p>
        </w:tc>
      </w:tr>
      <w:tr w:rsidR="00DA41D4" w:rsidRPr="00765643" w14:paraId="79869775" w14:textId="77777777" w:rsidTr="005759E7">
        <w:trPr>
          <w:trHeight w:val="324"/>
        </w:trPr>
        <w:tc>
          <w:tcPr>
            <w:tcW w:w="7637" w:type="dxa"/>
            <w:tcBorders>
              <w:top w:val="single" w:sz="4" w:space="0" w:color="000000"/>
              <w:left w:val="single" w:sz="4" w:space="0" w:color="000000"/>
              <w:bottom w:val="single" w:sz="4" w:space="0" w:color="000000"/>
              <w:right w:val="single" w:sz="4" w:space="0" w:color="000000"/>
            </w:tcBorders>
          </w:tcPr>
          <w:p w14:paraId="26B143E6" w14:textId="77777777" w:rsidR="00DA41D4" w:rsidRPr="00FF131C" w:rsidRDefault="00DA41D4" w:rsidP="005759E7">
            <w:pPr>
              <w:spacing w:after="0"/>
            </w:pPr>
            <w:r w:rsidRPr="00FF131C">
              <w:t>Radiocommunications (Trading Rules for Spectrum Licences) Determination 2012</w:t>
            </w:r>
          </w:p>
        </w:tc>
      </w:tr>
      <w:tr w:rsidR="00DA41D4" w:rsidRPr="00765643" w14:paraId="6D12D9E2" w14:textId="77777777" w:rsidTr="005759E7">
        <w:trPr>
          <w:trHeight w:val="407"/>
        </w:trPr>
        <w:tc>
          <w:tcPr>
            <w:tcW w:w="7637" w:type="dxa"/>
            <w:tcBorders>
              <w:top w:val="single" w:sz="4" w:space="0" w:color="000000"/>
              <w:left w:val="single" w:sz="4" w:space="0" w:color="000000"/>
              <w:bottom w:val="single" w:sz="4" w:space="0" w:color="000000"/>
              <w:right w:val="single" w:sz="4" w:space="0" w:color="000000"/>
            </w:tcBorders>
          </w:tcPr>
          <w:p w14:paraId="3B6D5997" w14:textId="77777777" w:rsidR="00DA41D4" w:rsidRPr="00FF131C" w:rsidRDefault="00DA41D4" w:rsidP="005759E7">
            <w:pPr>
              <w:spacing w:after="0"/>
            </w:pPr>
            <w:r w:rsidRPr="00FF131C">
              <w:t>Radiocommunications (Unacceptable Levels of Interference – 800 MHz Band) Determination 2012</w:t>
            </w:r>
          </w:p>
        </w:tc>
      </w:tr>
    </w:tbl>
    <w:p w14:paraId="073D9FC0" w14:textId="77777777" w:rsidR="00A76A7A" w:rsidRDefault="00A76A7A">
      <w:pPr>
        <w:spacing w:after="0" w:line="240" w:lineRule="auto"/>
      </w:pPr>
    </w:p>
    <w:bookmarkEnd w:id="603"/>
    <w:bookmarkEnd w:id="604"/>
    <w:bookmarkEnd w:id="605"/>
    <w:bookmarkEnd w:id="606"/>
    <w:p w14:paraId="62264AE9" w14:textId="0973A0BC" w:rsidR="00FF3C69" w:rsidRDefault="00FF3C69" w:rsidP="00F72652"/>
    <w:sectPr w:rsidR="00FF3C69" w:rsidSect="00760066">
      <w:headerReference w:type="even" r:id="rId59"/>
      <w:headerReference w:type="default" r:id="rId60"/>
      <w:footerReference w:type="even" r:id="rId61"/>
      <w:footerReference w:type="default" r:id="rId62"/>
      <w:pgSz w:w="11906" w:h="16838" w:code="9"/>
      <w:pgMar w:top="1945" w:right="3101"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B3E87" w14:textId="77777777" w:rsidR="009B17F9" w:rsidRDefault="009B17F9">
      <w:r>
        <w:separator/>
      </w:r>
    </w:p>
    <w:p w14:paraId="5C6A98A2" w14:textId="77777777" w:rsidR="009B17F9" w:rsidRDefault="009B17F9"/>
  </w:endnote>
  <w:endnote w:type="continuationSeparator" w:id="0">
    <w:p w14:paraId="263E999A" w14:textId="77777777" w:rsidR="009B17F9" w:rsidRDefault="009B17F9">
      <w:r>
        <w:continuationSeparator/>
      </w:r>
    </w:p>
    <w:p w14:paraId="4A976BEF" w14:textId="77777777" w:rsidR="009B17F9" w:rsidRDefault="009B17F9"/>
  </w:endnote>
  <w:endnote w:type="continuationNotice" w:id="1">
    <w:p w14:paraId="6324B539" w14:textId="77777777" w:rsidR="009B17F9" w:rsidRDefault="009B17F9">
      <w:pPr>
        <w:spacing w:after="0" w:line="240" w:lineRule="auto"/>
      </w:pPr>
    </w:p>
    <w:p w14:paraId="124931D6" w14:textId="77777777" w:rsidR="009B17F9" w:rsidRDefault="009B1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BCC74" w14:textId="77777777" w:rsidR="00406ADF" w:rsidRDefault="00406ADF">
    <w:pPr>
      <w:pStyle w:val="Footer"/>
    </w:pPr>
    <w:r>
      <w:rPr>
        <w:noProof/>
      </w:rPr>
      <w:drawing>
        <wp:inline distT="0" distB="0" distL="0" distR="0" wp14:anchorId="73800B89" wp14:editId="124789D3">
          <wp:extent cx="3483864" cy="249613"/>
          <wp:effectExtent l="0" t="0" r="0" b="0"/>
          <wp:docPr id="11" name="Picture 11"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442D" w14:textId="77777777" w:rsidR="00406ADF" w:rsidRPr="00622A3B" w:rsidRDefault="00406ADF"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75</w:t>
    </w:r>
    <w:r w:rsidRPr="00575AC5">
      <w:rPr>
        <w:color w:val="505050"/>
      </w:rPr>
      <w:fldChar w:fldCharType="end"/>
    </w:r>
  </w:p>
  <w:p w14:paraId="59DD72D9" w14:textId="77777777" w:rsidR="00406ADF" w:rsidRPr="00A5474E" w:rsidRDefault="00406ADF" w:rsidP="00A5474E">
    <w:pPr>
      <w:pStyle w:val="Footer"/>
    </w:pPr>
  </w:p>
  <w:p w14:paraId="1F8BDC74" w14:textId="77777777" w:rsidR="00406ADF" w:rsidRDefault="00406A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EE80" w14:textId="77777777" w:rsidR="00406ADF" w:rsidRDefault="00406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D81D" w14:textId="77777777" w:rsidR="00406ADF" w:rsidRDefault="00406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4286" w14:textId="77777777" w:rsidR="00406ADF" w:rsidRPr="00622A3B" w:rsidRDefault="00406ADF"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0D11E6E0" w14:textId="77777777" w:rsidR="00406ADF" w:rsidRPr="00A5474E" w:rsidRDefault="00406ADF"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34B4" w14:textId="77777777" w:rsidR="00406ADF" w:rsidRPr="00622A3B" w:rsidRDefault="00406ADF"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2E3EC9BE" w14:textId="77777777" w:rsidR="00406ADF" w:rsidRPr="00A5474E" w:rsidRDefault="00406ADF"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7C5C" w14:textId="77777777" w:rsidR="00406ADF" w:rsidRPr="00622A3B" w:rsidRDefault="00406ADF"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6186B029" w14:textId="77777777" w:rsidR="00406ADF" w:rsidRPr="00A5474E" w:rsidRDefault="00406ADF"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E55FB" w14:textId="77777777" w:rsidR="00406ADF" w:rsidRPr="00622A3B" w:rsidRDefault="00406ADF"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30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7454B23" w14:textId="77777777" w:rsidR="00406ADF" w:rsidRDefault="00406AD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F265" w14:textId="77777777" w:rsidR="00406ADF" w:rsidRPr="00622A3B" w:rsidRDefault="00406ADF" w:rsidP="00947E20">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31</w:t>
    </w:r>
    <w:r w:rsidRPr="00575AC5">
      <w:rPr>
        <w:color w:val="505050"/>
      </w:rPr>
      <w:fldChar w:fldCharType="end"/>
    </w:r>
  </w:p>
  <w:p w14:paraId="14F8C0D8" w14:textId="77777777" w:rsidR="00406ADF" w:rsidRDefault="00406ADF" w:rsidP="0037046B">
    <w:pPr>
      <w:pStyle w:val="Footer"/>
      <w:spacing w:after="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A104" w14:textId="77777777" w:rsidR="00406ADF" w:rsidRPr="00622A3B" w:rsidRDefault="00406ADF"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74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B04D850" w14:textId="77777777" w:rsidR="00406ADF" w:rsidRPr="00A5474E" w:rsidRDefault="00406ADF" w:rsidP="00A5474E">
    <w:pPr>
      <w:pStyle w:val="Footer"/>
    </w:pPr>
  </w:p>
  <w:p w14:paraId="63EB684D" w14:textId="77777777" w:rsidR="00406ADF" w:rsidRDefault="00406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1D18" w14:textId="77777777" w:rsidR="009B17F9" w:rsidRDefault="009B17F9">
      <w:r>
        <w:separator/>
      </w:r>
    </w:p>
  </w:footnote>
  <w:footnote w:type="continuationSeparator" w:id="0">
    <w:p w14:paraId="0ACCEF33" w14:textId="77777777" w:rsidR="009B17F9" w:rsidRDefault="009B17F9">
      <w:r>
        <w:continuationSeparator/>
      </w:r>
    </w:p>
  </w:footnote>
  <w:footnote w:type="continuationNotice" w:id="1">
    <w:p w14:paraId="0E31FEAB" w14:textId="77777777" w:rsidR="009B17F9" w:rsidRPr="00865494" w:rsidRDefault="009B17F9" w:rsidP="00865494">
      <w:pPr>
        <w:pStyle w:val="Footer"/>
      </w:pPr>
    </w:p>
  </w:footnote>
  <w:footnote w:id="2">
    <w:p w14:paraId="5D7F16D4" w14:textId="04EDE690" w:rsidR="00406ADF" w:rsidRDefault="00406ADF">
      <w:pPr>
        <w:pStyle w:val="FootnoteText"/>
      </w:pPr>
      <w:r>
        <w:rPr>
          <w:rStyle w:val="FootnoteReference"/>
        </w:rPr>
        <w:footnoteRef/>
      </w:r>
      <w:r>
        <w:t xml:space="preserve"> ACMA </w:t>
      </w:r>
      <w:hyperlink r:id="rId1" w:history="1">
        <w:r w:rsidRPr="00365525">
          <w:rPr>
            <w:rStyle w:val="Hyperlink"/>
            <w:i/>
          </w:rPr>
          <w:t>Corporate plan 2018–19</w:t>
        </w:r>
      </w:hyperlink>
      <w:r>
        <w:t xml:space="preserve">. </w:t>
      </w:r>
    </w:p>
  </w:footnote>
  <w:footnote w:id="3">
    <w:p w14:paraId="6F9B9F2D" w14:textId="77777777" w:rsidR="00406ADF" w:rsidRPr="007342CC" w:rsidRDefault="00406ADF" w:rsidP="00C11FCB">
      <w:pPr>
        <w:pStyle w:val="Footer"/>
        <w:spacing w:after="0" w:line="200" w:lineRule="atLeast"/>
        <w:rPr>
          <w:rFonts w:cs="Arial"/>
          <w:szCs w:val="16"/>
        </w:rPr>
      </w:pPr>
      <w:r w:rsidRPr="007342CC">
        <w:rPr>
          <w:rStyle w:val="FootnoteReference"/>
          <w:rFonts w:cs="Arial"/>
          <w:szCs w:val="16"/>
        </w:rPr>
        <w:footnoteRef/>
      </w:r>
      <w:r w:rsidRPr="007342CC">
        <w:rPr>
          <w:rFonts w:cs="Arial"/>
          <w:szCs w:val="16"/>
        </w:rPr>
        <w:t xml:space="preserve"> </w:t>
      </w:r>
      <w:r w:rsidRPr="004A0EC1">
        <w:rPr>
          <w:rFonts w:cs="Arial"/>
          <w:szCs w:val="16"/>
        </w:rPr>
        <w:t xml:space="preserve">Report </w:t>
      </w:r>
      <w:hyperlink r:id="rId2" w:history="1">
        <w:r w:rsidRPr="004A0EC1">
          <w:rPr>
            <w:rStyle w:val="Hyperlink"/>
            <w:rFonts w:cs="Arial"/>
            <w:szCs w:val="16"/>
          </w:rPr>
          <w:t>ITU-R M.2410-0</w:t>
        </w:r>
      </w:hyperlink>
      <w:r w:rsidRPr="004A0EC1">
        <w:rPr>
          <w:rFonts w:cs="Arial"/>
          <w:szCs w:val="16"/>
        </w:rPr>
        <w:t xml:space="preserve"> Minimum requirements related to technical performance </w:t>
      </w:r>
      <w:r>
        <w:rPr>
          <w:rFonts w:cs="Arial"/>
          <w:szCs w:val="16"/>
        </w:rPr>
        <w:t xml:space="preserve">for IMT-2020 radio interface(s), </w:t>
      </w:r>
      <w:r w:rsidRPr="004A0EC1">
        <w:rPr>
          <w:rFonts w:cs="Arial"/>
          <w:szCs w:val="16"/>
        </w:rPr>
        <w:t>completed in November 2017</w:t>
      </w:r>
      <w:r>
        <w:rPr>
          <w:rFonts w:cs="Arial"/>
          <w:szCs w:val="16"/>
        </w:rPr>
        <w:t>.</w:t>
      </w:r>
    </w:p>
  </w:footnote>
  <w:footnote w:id="4">
    <w:p w14:paraId="40366B39" w14:textId="77777777" w:rsidR="00406ADF" w:rsidRPr="00E25DFF" w:rsidRDefault="00406ADF" w:rsidP="00C11FCB">
      <w:pPr>
        <w:pStyle w:val="Footer"/>
        <w:spacing w:after="0" w:line="200" w:lineRule="atLeast"/>
        <w:rPr>
          <w:lang w:val="en-US"/>
        </w:rPr>
      </w:pPr>
      <w:r w:rsidRPr="007342CC">
        <w:rPr>
          <w:rStyle w:val="FootnoteReference"/>
          <w:rFonts w:cs="Arial"/>
          <w:szCs w:val="16"/>
        </w:rPr>
        <w:footnoteRef/>
      </w:r>
      <w:r w:rsidRPr="007342CC">
        <w:rPr>
          <w:rFonts w:cs="Arial"/>
          <w:szCs w:val="16"/>
        </w:rPr>
        <w:t xml:space="preserve"> See </w:t>
      </w:r>
      <w:hyperlink r:id="rId3" w:history="1">
        <w:r w:rsidRPr="007342CC">
          <w:rPr>
            <w:rStyle w:val="Hyperlink"/>
            <w:rFonts w:cs="Arial"/>
            <w:szCs w:val="16"/>
          </w:rPr>
          <w:t>5G-NR workplan for eMBB</w:t>
        </w:r>
      </w:hyperlink>
      <w:r w:rsidRPr="007342CC">
        <w:rPr>
          <w:rFonts w:cs="Arial"/>
          <w:szCs w:val="16"/>
          <w:lang w:val="en-US"/>
        </w:rPr>
        <w:t>.</w:t>
      </w:r>
    </w:p>
  </w:footnote>
  <w:footnote w:id="5">
    <w:p w14:paraId="02BC3683" w14:textId="77777777" w:rsidR="00406ADF" w:rsidRPr="007342CC" w:rsidRDefault="00406ADF" w:rsidP="00C11FCB">
      <w:pPr>
        <w:pStyle w:val="Footer"/>
        <w:spacing w:after="0" w:line="200" w:lineRule="atLeast"/>
        <w:rPr>
          <w:rFonts w:cs="Arial"/>
          <w:lang w:val="en-US"/>
        </w:rPr>
      </w:pPr>
      <w:r w:rsidRPr="00D1185A">
        <w:rPr>
          <w:rStyle w:val="FootnoteReference"/>
          <w:szCs w:val="16"/>
        </w:rPr>
        <w:footnoteRef/>
      </w:r>
      <w:r w:rsidRPr="00E25DFF">
        <w:rPr>
          <w:szCs w:val="16"/>
        </w:rPr>
        <w:t xml:space="preserve"> </w:t>
      </w:r>
      <w:r w:rsidRPr="006F542F">
        <w:rPr>
          <w:color w:val="auto"/>
          <w:szCs w:val="16"/>
        </w:rPr>
        <w:t>mmWaves span 30 to 300 GHz (i.e. a wavelength of 1 cm to 1 mm), however</w:t>
      </w:r>
      <w:r>
        <w:rPr>
          <w:color w:val="auto"/>
          <w:szCs w:val="16"/>
        </w:rPr>
        <w:t>,</w:t>
      </w:r>
      <w:r w:rsidRPr="006F542F">
        <w:rPr>
          <w:color w:val="auto"/>
          <w:szCs w:val="16"/>
        </w:rPr>
        <w:t xml:space="preserve"> in the current 5G context, mmWave bands in consideration span from around 24 GHz up to 86 GHz.</w:t>
      </w:r>
    </w:p>
  </w:footnote>
  <w:footnote w:id="6">
    <w:p w14:paraId="0983FA0A" w14:textId="77777777" w:rsidR="00406ADF" w:rsidRPr="00D210EA" w:rsidRDefault="00406ADF" w:rsidP="006F542F">
      <w:pPr>
        <w:pStyle w:val="FootnoteText"/>
      </w:pPr>
      <w:r w:rsidRPr="00D210EA">
        <w:rPr>
          <w:rStyle w:val="FootnoteReference"/>
        </w:rPr>
        <w:footnoteRef/>
      </w:r>
      <w:r w:rsidRPr="00D210EA">
        <w:t xml:space="preserve"> </w:t>
      </w:r>
      <w:r>
        <w:t xml:space="preserve">See </w:t>
      </w:r>
      <w:hyperlink r:id="rId4" w:history="1">
        <w:r w:rsidRPr="00D210EA">
          <w:rPr>
            <w:rStyle w:val="Hyperlink"/>
            <w:i/>
          </w:rPr>
          <w:t>Impacts of 5G on productivity and economic growth</w:t>
        </w:r>
      </w:hyperlink>
      <w:r>
        <w:t>, Bureau of Communications and Arts Research, 9 April 2018.</w:t>
      </w:r>
    </w:p>
  </w:footnote>
  <w:footnote w:id="7">
    <w:p w14:paraId="271BF8D3" w14:textId="77777777" w:rsidR="00406ADF" w:rsidRDefault="00406ADF" w:rsidP="00C11FCB">
      <w:pPr>
        <w:pStyle w:val="FootnoteText"/>
      </w:pPr>
      <w:r>
        <w:rPr>
          <w:rStyle w:val="FootnoteReference"/>
        </w:rPr>
        <w:footnoteRef/>
      </w:r>
      <w:r>
        <w:t xml:space="preserve"> Senator The Hon Mitch Fifield, </w:t>
      </w:r>
      <w:hyperlink r:id="rId5" w:anchor=".WeVEz2epXSo" w:history="1">
        <w:r w:rsidRPr="00F053CF">
          <w:rPr>
            <w:rStyle w:val="Hyperlink"/>
          </w:rPr>
          <w:t>Turnbull Government to convene 5G working group</w:t>
        </w:r>
      </w:hyperlink>
      <w:r>
        <w:t>, media release, 12 October 2017.</w:t>
      </w:r>
    </w:p>
  </w:footnote>
  <w:footnote w:id="8">
    <w:p w14:paraId="7725810B" w14:textId="77777777" w:rsidR="00406ADF" w:rsidRDefault="00406ADF" w:rsidP="00665B86">
      <w:pPr>
        <w:pStyle w:val="FootnoteText"/>
      </w:pPr>
      <w:r>
        <w:rPr>
          <w:rStyle w:val="FootnoteReference"/>
        </w:rPr>
        <w:footnoteRef/>
      </w:r>
      <w:r>
        <w:t xml:space="preserve"> </w:t>
      </w:r>
      <w:r w:rsidRPr="00F2691D">
        <w:rPr>
          <w:rStyle w:val="tgc"/>
          <w:rFonts w:cs="Arial"/>
          <w:bCs/>
          <w:color w:val="222222"/>
        </w:rPr>
        <w:t>Digital</w:t>
      </w:r>
      <w:r>
        <w:rPr>
          <w:rStyle w:val="tgc"/>
          <w:rFonts w:cs="Arial"/>
          <w:color w:val="222222"/>
        </w:rPr>
        <w:t xml:space="preserve"> Video Broadcasting – Terrestrial it is the </w:t>
      </w:r>
      <w:r w:rsidRPr="00F2691D">
        <w:rPr>
          <w:rStyle w:val="tgc"/>
          <w:rFonts w:cs="Arial"/>
          <w:bCs/>
          <w:color w:val="222222"/>
        </w:rPr>
        <w:t>DVB</w:t>
      </w:r>
      <w:r>
        <w:rPr>
          <w:rStyle w:val="tgc"/>
          <w:rFonts w:cs="Arial"/>
          <w:color w:val="222222"/>
        </w:rPr>
        <w:t xml:space="preserve"> European-based consortium standard for the broadcast transmission of </w:t>
      </w:r>
      <w:r w:rsidRPr="00F2691D">
        <w:rPr>
          <w:rStyle w:val="tgc"/>
          <w:rFonts w:cs="Arial"/>
          <w:bCs/>
          <w:color w:val="222222"/>
        </w:rPr>
        <w:t>digital</w:t>
      </w:r>
      <w:r>
        <w:rPr>
          <w:rStyle w:val="tgc"/>
          <w:rFonts w:cs="Arial"/>
          <w:color w:val="222222"/>
        </w:rPr>
        <w:t xml:space="preserve"> terrestrial </w:t>
      </w:r>
      <w:r w:rsidRPr="00F2691D">
        <w:rPr>
          <w:rStyle w:val="tgc"/>
          <w:rFonts w:cs="Arial"/>
          <w:bCs/>
          <w:color w:val="222222"/>
        </w:rPr>
        <w:t>television</w:t>
      </w:r>
      <w:r>
        <w:rPr>
          <w:rStyle w:val="tgc"/>
          <w:rFonts w:cs="Arial"/>
          <w:color w:val="222222"/>
        </w:rPr>
        <w:t xml:space="preserve"> that was first published in 1997.</w:t>
      </w:r>
    </w:p>
  </w:footnote>
  <w:footnote w:id="9">
    <w:p w14:paraId="74D4821C" w14:textId="622C5DBB" w:rsidR="00406ADF" w:rsidRDefault="00406ADF" w:rsidP="00665B86">
      <w:pPr>
        <w:pStyle w:val="FootnoteText"/>
      </w:pPr>
      <w:r>
        <w:rPr>
          <w:rStyle w:val="FootnoteReference"/>
        </w:rPr>
        <w:footnoteRef/>
      </w:r>
      <w:r>
        <w:t xml:space="preserve"> </w:t>
      </w:r>
      <w:r>
        <w:rPr>
          <w:rStyle w:val="tgc"/>
          <w:rFonts w:cs="Arial"/>
          <w:color w:val="222222"/>
        </w:rPr>
        <w:t xml:space="preserve">Depending on the </w:t>
      </w:r>
      <w:r w:rsidRPr="005759E7">
        <w:rPr>
          <w:rStyle w:val="tgc"/>
          <w:rFonts w:cs="Arial"/>
          <w:color w:val="222222"/>
        </w:rPr>
        <w:t xml:space="preserve">DVB-T2 transmission parameters </w:t>
      </w:r>
      <w:r>
        <w:rPr>
          <w:rStyle w:val="tgc"/>
          <w:rFonts w:cs="Arial"/>
          <w:color w:val="222222"/>
        </w:rPr>
        <w:t xml:space="preserve">used the </w:t>
      </w:r>
      <w:r w:rsidRPr="005759E7">
        <w:rPr>
          <w:rStyle w:val="tgc"/>
          <w:rFonts w:cs="Arial"/>
          <w:color w:val="222222"/>
        </w:rPr>
        <w:t xml:space="preserve">payload capacity </w:t>
      </w:r>
      <w:r>
        <w:rPr>
          <w:rStyle w:val="tgc"/>
          <w:rFonts w:cs="Arial"/>
          <w:color w:val="222222"/>
        </w:rPr>
        <w:t>could be 40–60 per cent greater than that of DVB-T</w:t>
      </w:r>
      <w:r w:rsidRPr="005759E7">
        <w:rPr>
          <w:rStyle w:val="tgc"/>
          <w:rFonts w:cs="Arial"/>
          <w:color w:val="222222"/>
        </w:rPr>
        <w:t>.</w:t>
      </w:r>
      <w:r>
        <w:rPr>
          <w:rStyle w:val="tgc"/>
          <w:rFonts w:cs="Arial"/>
          <w:color w:val="222222"/>
        </w:rPr>
        <w:t xml:space="preserve"> HEVC compression is up to four times more efficient than MPEG-2 and twice as efficient than MPEG-4 with current DVB-T multiplexes </w:t>
      </w:r>
      <w:r>
        <w:rPr>
          <w:rStyle w:val="tgc"/>
          <w:rFonts w:cs="Arial"/>
          <w:noProof/>
          <w:color w:val="222222"/>
        </w:rPr>
        <w:t>carrying</w:t>
      </w:r>
      <w:r>
        <w:rPr>
          <w:rStyle w:val="tgc"/>
          <w:rFonts w:cs="Arial"/>
          <w:color w:val="222222"/>
        </w:rPr>
        <w:t xml:space="preserve"> a mix of MPEG-2 and MPEG-4 services.</w:t>
      </w:r>
    </w:p>
  </w:footnote>
  <w:footnote w:id="10">
    <w:p w14:paraId="17905F31" w14:textId="77777777" w:rsidR="00406ADF" w:rsidRDefault="00406ADF" w:rsidP="00665B86">
      <w:pPr>
        <w:pStyle w:val="FootnoteText"/>
      </w:pPr>
      <w:r>
        <w:rPr>
          <w:rStyle w:val="FootnoteReference"/>
          <w:rFonts w:eastAsiaTheme="majorEastAsia"/>
        </w:rPr>
        <w:footnoteRef/>
      </w:r>
      <w:r>
        <w:t xml:space="preserve"> FSS earth stations (as the name suggests) are intended to be at fixed locations on land. Spectrum planning, coordination and regulatory arrangements for FSS are designed on the principle that earth stations are at a fixed location and as such, moving earth stations are not typically supported by existing FSS arrangements.</w:t>
      </w:r>
    </w:p>
  </w:footnote>
  <w:footnote w:id="11">
    <w:p w14:paraId="18A08763" w14:textId="77777777" w:rsidR="00406ADF" w:rsidRDefault="00406ADF" w:rsidP="00B52756">
      <w:pPr>
        <w:pStyle w:val="FootnoteText"/>
      </w:pPr>
      <w:r>
        <w:rPr>
          <w:rStyle w:val="FootnoteReference"/>
        </w:rPr>
        <w:footnoteRef/>
      </w:r>
      <w:r>
        <w:t xml:space="preserve"> In this context, a lower-tier user is a user that has lower priority compared to another user under a DSA arrangement. </w:t>
      </w:r>
    </w:p>
  </w:footnote>
  <w:footnote w:id="12">
    <w:p w14:paraId="6176975C" w14:textId="77777777" w:rsidR="00406ADF" w:rsidRDefault="00406ADF">
      <w:pPr>
        <w:pStyle w:val="FootnoteText"/>
      </w:pPr>
      <w:r>
        <w:rPr>
          <w:rStyle w:val="FootnoteReference"/>
        </w:rPr>
        <w:footnoteRef/>
      </w:r>
      <w:r>
        <w:t xml:space="preserve"> </w:t>
      </w:r>
      <w:r w:rsidRPr="00A92E12">
        <w:rPr>
          <w:i/>
        </w:rPr>
        <w:t>Addendum to FYSO 2018–22—Response to submissions</w:t>
      </w:r>
      <w:r>
        <w:t xml:space="preserve">. </w:t>
      </w:r>
    </w:p>
  </w:footnote>
  <w:footnote w:id="13">
    <w:p w14:paraId="098C3A95" w14:textId="77777777" w:rsidR="00406ADF" w:rsidRDefault="00406ADF" w:rsidP="005759E7">
      <w:pPr>
        <w:pStyle w:val="FootnoteText"/>
      </w:pPr>
      <w:r>
        <w:rPr>
          <w:rStyle w:val="FootnoteReference"/>
        </w:rPr>
        <w:footnoteRef/>
      </w:r>
      <w:r>
        <w:t xml:space="preserve"> This lower boundary (617 MHz) is based on the bottom edge of the 2 x 35 MHz plan identified for the US 600 MHz band. The size of any guard band between the bottom of possible 600 MHz arrangements and the upper edge of ongoing broadcasting would need to be considered as part of any review of the band. The upper boundary aligns with the top edge of the US 600 MHz band plan, noting that the top edge of the highest channel used for broadcasting in Australia ceases at 694 MHz. </w:t>
      </w:r>
    </w:p>
  </w:footnote>
  <w:footnote w:id="14">
    <w:p w14:paraId="0EF9FEE8" w14:textId="77777777" w:rsidR="00406ADF" w:rsidRDefault="00406ADF" w:rsidP="009C0BE6">
      <w:pPr>
        <w:pStyle w:val="FootnoteText"/>
      </w:pPr>
      <w:r>
        <w:rPr>
          <w:rStyle w:val="FootnoteReference"/>
        </w:rPr>
        <w:footnoteRef/>
      </w:r>
      <w:r>
        <w:t xml:space="preserve"> </w:t>
      </w:r>
      <w:r>
        <w:rPr>
          <w:rStyle w:val="FooterChar"/>
        </w:rPr>
        <w:t xml:space="preserve">Minister for Communications Malcolm Turnbull’s speech to RadComms 2014, available at </w:t>
      </w:r>
      <w:hyperlink r:id="rId6" w:history="1">
        <w:r>
          <w:rPr>
            <w:rStyle w:val="Hyperlink"/>
            <w:rFonts w:eastAsiaTheme="majorEastAsia"/>
          </w:rPr>
          <w:t>www.malcolmturnbull.com.au/media/radcomms-2014-spectrum-in-the-age-of-digital-innovation</w:t>
        </w:r>
      </w:hyperlink>
      <w:r>
        <w:rPr>
          <w:rStyle w:val="FooterChar"/>
        </w:rPr>
        <w:t xml:space="preserve">. </w:t>
      </w:r>
    </w:p>
  </w:footnote>
  <w:footnote w:id="15">
    <w:p w14:paraId="27B4C8A0" w14:textId="77777777" w:rsidR="00406ADF" w:rsidRDefault="00406ADF" w:rsidP="003E4A13">
      <w:pPr>
        <w:pStyle w:val="FootnoteText"/>
      </w:pPr>
      <w:r>
        <w:rPr>
          <w:rStyle w:val="FootnoteReference"/>
        </w:rPr>
        <w:footnoteRef/>
      </w:r>
      <w:r>
        <w:t xml:space="preserve"> Information available on the </w:t>
      </w:r>
      <w:hyperlink r:id="rId7" w:anchor="block-menu-block-4" w:history="1">
        <w:r>
          <w:rPr>
            <w:rStyle w:val="Hyperlink"/>
            <w:rFonts w:eastAsiaTheme="majorEastAsia"/>
          </w:rPr>
          <w:t>FCC website</w:t>
        </w:r>
      </w:hyperlink>
      <w:r>
        <w:t>.</w:t>
      </w:r>
    </w:p>
  </w:footnote>
  <w:footnote w:id="16">
    <w:p w14:paraId="284E540A" w14:textId="77777777" w:rsidR="00406ADF" w:rsidRDefault="00406ADF" w:rsidP="00EB6D74">
      <w:pPr>
        <w:pStyle w:val="FootnoteText"/>
      </w:pPr>
      <w:r>
        <w:rPr>
          <w:rStyle w:val="FootnoteReference"/>
        </w:rPr>
        <w:footnoteRef/>
      </w:r>
      <w:r>
        <w:t xml:space="preserve"> GSA–Global mobile Suppliers Association, </w:t>
      </w:r>
      <w:hyperlink r:id="rId8" w:history="1">
        <w:r>
          <w:rPr>
            <w:rStyle w:val="Hyperlink"/>
            <w:rFonts w:eastAsiaTheme="majorEastAsia"/>
          </w:rPr>
          <w:t>The case for new 5G spectrum</w:t>
        </w:r>
      </w:hyperlink>
      <w:r>
        <w:t>, November 2016.</w:t>
      </w:r>
    </w:p>
  </w:footnote>
  <w:footnote w:id="17">
    <w:p w14:paraId="5FFABC34" w14:textId="77777777" w:rsidR="00406ADF" w:rsidRDefault="00406ADF" w:rsidP="00EB6D74">
      <w:pPr>
        <w:pStyle w:val="FootnoteText"/>
      </w:pPr>
      <w:r>
        <w:rPr>
          <w:rStyle w:val="FootnoteReference"/>
        </w:rPr>
        <w:footnoteRef/>
      </w:r>
      <w:r>
        <w:t xml:space="preserve"> Vodafone, </w:t>
      </w:r>
      <w:hyperlink r:id="rId9" w:history="1">
        <w:r>
          <w:rPr>
            <w:rStyle w:val="Hyperlink"/>
            <w:rFonts w:eastAsiaTheme="majorEastAsia"/>
          </w:rPr>
          <w:t>Vodafone and Nokia conduct Australia’s first live public 5G trial</w:t>
        </w:r>
      </w:hyperlink>
      <w:r>
        <w:t>, 12 October 2016.</w:t>
      </w:r>
    </w:p>
  </w:footnote>
  <w:footnote w:id="18">
    <w:p w14:paraId="3112F60D" w14:textId="77777777" w:rsidR="00406ADF" w:rsidRDefault="00406ADF" w:rsidP="00EB6D74">
      <w:pPr>
        <w:pStyle w:val="FootnoteText"/>
      </w:pPr>
      <w:r>
        <w:rPr>
          <w:rStyle w:val="FootnoteReference"/>
        </w:rPr>
        <w:footnoteRef/>
      </w:r>
      <w:r>
        <w:t xml:space="preserve"> Ericsson, </w:t>
      </w:r>
      <w:hyperlink r:id="rId10" w:history="1">
        <w:r>
          <w:rPr>
            <w:rStyle w:val="Hyperlink"/>
            <w:rFonts w:eastAsiaTheme="majorEastAsia"/>
          </w:rPr>
          <w:t>Ericsson and SoftBank trial 5G in 4.5 GHz band</w:t>
        </w:r>
      </w:hyperlink>
      <w:r>
        <w:t>, 31 August 2017.</w:t>
      </w:r>
    </w:p>
  </w:footnote>
  <w:footnote w:id="19">
    <w:p w14:paraId="3F761E6C" w14:textId="77777777" w:rsidR="00406ADF" w:rsidRDefault="00406ADF" w:rsidP="005759E7">
      <w:pPr>
        <w:pStyle w:val="FootnoteText"/>
      </w:pPr>
      <w:r>
        <w:rPr>
          <w:rStyle w:val="FootnoteReference"/>
        </w:rPr>
        <w:footnoteRef/>
      </w:r>
      <w:r>
        <w:t xml:space="preserve"> </w:t>
      </w:r>
      <w:hyperlink r:id="rId11" w:history="1">
        <w:r w:rsidRPr="000E605D">
          <w:rPr>
            <w:rStyle w:val="Hyperlink"/>
          </w:rPr>
          <w:t>Spectrum for 4G and 5G, Qualcomm, December 2017</w:t>
        </w:r>
      </w:hyperlink>
      <w:r w:rsidRPr="005759E7">
        <w:rPr>
          <w:rStyle w:val="Hyperlink"/>
          <w:color w:val="auto"/>
          <w:u w:val="none"/>
        </w:rPr>
        <w:t>.</w:t>
      </w:r>
    </w:p>
  </w:footnote>
  <w:footnote w:id="20">
    <w:p w14:paraId="043FD147" w14:textId="77777777" w:rsidR="00406ADF" w:rsidRDefault="00406ADF" w:rsidP="003E4A13">
      <w:pPr>
        <w:pStyle w:val="FootnoteText"/>
        <w:rPr>
          <w:rFonts w:cs="Arial"/>
        </w:rPr>
      </w:pPr>
      <w:r>
        <w:rPr>
          <w:rStyle w:val="FootnoteReference"/>
        </w:rPr>
        <w:footnoteRef/>
      </w:r>
      <w:r>
        <w:rPr>
          <w:rFonts w:cs="Arial"/>
        </w:rPr>
        <w:t xml:space="preserve"> In accordance with ITU-R Resolution </w:t>
      </w:r>
      <w:r>
        <w:rPr>
          <w:rFonts w:cs="Arial"/>
          <w:b/>
        </w:rPr>
        <w:t>646</w:t>
      </w:r>
      <w:r>
        <w:rPr>
          <w:rFonts w:cs="Arial"/>
        </w:rPr>
        <w:t>.</w:t>
      </w:r>
    </w:p>
  </w:footnote>
  <w:footnote w:id="21">
    <w:p w14:paraId="1F4C32F6" w14:textId="77777777" w:rsidR="00406ADF" w:rsidRDefault="00406ADF" w:rsidP="005759E7">
      <w:pPr>
        <w:pStyle w:val="FootnoteText"/>
      </w:pPr>
      <w:r>
        <w:rPr>
          <w:rStyle w:val="FootnoteReference"/>
        </w:rPr>
        <w:footnoteRef/>
      </w:r>
      <w:r>
        <w:t xml:space="preserve"> </w:t>
      </w:r>
      <w:hyperlink r:id="rId12" w:history="1">
        <w:r w:rsidRPr="000E605D">
          <w:rPr>
            <w:rStyle w:val="Hyperlink"/>
          </w:rPr>
          <w:t>Spectrum for 4G and 5G, Qualcomm, December 2017</w:t>
        </w:r>
      </w:hyperlink>
      <w:r>
        <w:t xml:space="preserve"> </w:t>
      </w:r>
    </w:p>
  </w:footnote>
  <w:footnote w:id="22">
    <w:p w14:paraId="0B065C3E" w14:textId="77777777" w:rsidR="00406ADF" w:rsidRDefault="00406ADF" w:rsidP="003E4A13">
      <w:pPr>
        <w:pStyle w:val="FootnoteText"/>
      </w:pPr>
      <w:r>
        <w:rPr>
          <w:rStyle w:val="FootnoteReference"/>
        </w:rPr>
        <w:footnoteRef/>
      </w:r>
      <w:r>
        <w:t xml:space="preserve"> The Radio Spectrum Policy Group (RSPG) is a high-level advisory group that assists the European Commission in the development of radio spectrum policy.</w:t>
      </w:r>
    </w:p>
  </w:footnote>
  <w:footnote w:id="23">
    <w:p w14:paraId="0F8AEBC7" w14:textId="77777777" w:rsidR="00406ADF" w:rsidRDefault="00406ADF" w:rsidP="003E4A13">
      <w:pPr>
        <w:pStyle w:val="FootnoteText"/>
      </w:pPr>
      <w:r>
        <w:rPr>
          <w:rStyle w:val="FootnoteReference"/>
        </w:rPr>
        <w:footnoteRef/>
      </w:r>
      <w:r>
        <w:t xml:space="preserve"> Report and Order and Further Notice of Proposed Rulemaking, </w:t>
      </w:r>
      <w:hyperlink r:id="rId13" w:history="1">
        <w:r>
          <w:rPr>
            <w:rStyle w:val="Hyperlink"/>
            <w:rFonts w:eastAsiaTheme="majorEastAsia"/>
          </w:rPr>
          <w:t>FCC 16-89</w:t>
        </w:r>
      </w:hyperlink>
      <w:r w:rsidRPr="005759E7">
        <w:rPr>
          <w:rStyle w:val="Hyperlink"/>
          <w:rFonts w:eastAsiaTheme="majorEastAsia"/>
          <w:color w:val="auto"/>
          <w:u w:val="none"/>
        </w:rPr>
        <w:t>.</w:t>
      </w:r>
      <w:r>
        <w:t xml:space="preserve"> </w:t>
      </w:r>
    </w:p>
  </w:footnote>
  <w:footnote w:id="24">
    <w:p w14:paraId="5F83DD0D" w14:textId="77777777" w:rsidR="00406ADF" w:rsidRDefault="00406ADF" w:rsidP="003E4A13">
      <w:pPr>
        <w:pStyle w:val="FootnoteText"/>
      </w:pPr>
      <w:r>
        <w:rPr>
          <w:rStyle w:val="FootnoteReference"/>
        </w:rPr>
        <w:footnoteRef/>
      </w:r>
      <w:r>
        <w:t xml:space="preserve"> Report and Order and Further Notice of Proposed Rulemaking, </w:t>
      </w:r>
      <w:hyperlink r:id="rId14" w:history="1">
        <w:r>
          <w:rPr>
            <w:rStyle w:val="Hyperlink"/>
            <w:rFonts w:eastAsiaTheme="majorEastAsia"/>
          </w:rPr>
          <w:t>FCC 16-89</w:t>
        </w:r>
      </w:hyperlink>
      <w:r w:rsidRPr="005759E7">
        <w:rPr>
          <w:rStyle w:val="Hyperlink"/>
          <w:rFonts w:eastAsiaTheme="majorEastAsia"/>
          <w:color w:val="auto"/>
          <w:u w:val="none"/>
        </w:rPr>
        <w:t>.</w:t>
      </w:r>
      <w:r>
        <w:t xml:space="preserve"> </w:t>
      </w:r>
    </w:p>
  </w:footnote>
  <w:footnote w:id="25">
    <w:p w14:paraId="60C4188F" w14:textId="77777777" w:rsidR="00406ADF" w:rsidRDefault="00406ADF" w:rsidP="003E4A13">
      <w:pPr>
        <w:pStyle w:val="FootnoteText"/>
      </w:pPr>
      <w:r>
        <w:rPr>
          <w:rStyle w:val="FootnoteReference"/>
        </w:rPr>
        <w:footnoteRef/>
      </w:r>
      <w:r>
        <w:t xml:space="preserve"> Contribution to WRC-15, </w:t>
      </w:r>
      <w:hyperlink r:id="rId15" w:history="1">
        <w:r>
          <w:rPr>
            <w:rStyle w:val="Hyperlink"/>
            <w:rFonts w:eastAsiaTheme="majorEastAsia"/>
          </w:rPr>
          <w:t>Revision 1 to Document 102(Add.24)</w:t>
        </w:r>
      </w:hyperlink>
      <w:r>
        <w:t>, Korea (Republic of).</w:t>
      </w:r>
    </w:p>
  </w:footnote>
  <w:footnote w:id="26">
    <w:p w14:paraId="1FBF5D3A" w14:textId="77777777" w:rsidR="00406ADF" w:rsidRDefault="00406ADF" w:rsidP="002E3B22">
      <w:pPr>
        <w:pStyle w:val="FootnoteText"/>
        <w:ind w:left="113" w:hanging="113"/>
      </w:pPr>
      <w:r>
        <w:rPr>
          <w:rStyle w:val="FootnoteReference"/>
        </w:rPr>
        <w:footnoteRef/>
      </w:r>
      <w:r>
        <w:t xml:space="preserve"> Refer to </w:t>
      </w:r>
      <w:hyperlink r:id="rId16" w:history="1">
        <w:r>
          <w:rPr>
            <w:rStyle w:val="Hyperlink"/>
            <w:rFonts w:eastAsiaTheme="majorEastAsia"/>
          </w:rPr>
          <w:t>www.acma.gov.au/theACMA/25-ghz-band-review</w:t>
        </w:r>
      </w:hyperlink>
      <w:r>
        <w:t>.</w:t>
      </w:r>
    </w:p>
  </w:footnote>
  <w:footnote w:id="27">
    <w:p w14:paraId="0B6832F2" w14:textId="77777777" w:rsidR="00406ADF" w:rsidRDefault="00406ADF" w:rsidP="002E3B22">
      <w:pPr>
        <w:pStyle w:val="FootnoteText"/>
        <w:ind w:left="113" w:hanging="113"/>
      </w:pPr>
      <w:r>
        <w:rPr>
          <w:rStyle w:val="FootnoteReference"/>
        </w:rPr>
        <w:footnoteRef/>
      </w:r>
      <w:r>
        <w:t xml:space="preserve"> Available from the </w:t>
      </w:r>
      <w:hyperlink r:id="rId17" w:history="1">
        <w:r>
          <w:rPr>
            <w:rStyle w:val="Hyperlink"/>
            <w:rFonts w:eastAsiaTheme="majorEastAsia"/>
          </w:rPr>
          <w:t>ACMA website</w:t>
        </w:r>
      </w:hyperlink>
      <w:r>
        <w:t xml:space="preserve"> and last revised September 2013.</w:t>
      </w:r>
    </w:p>
  </w:footnote>
  <w:footnote w:id="28">
    <w:p w14:paraId="37771C38" w14:textId="77777777" w:rsidR="00406ADF" w:rsidRDefault="00406ADF" w:rsidP="002E3B22">
      <w:pPr>
        <w:pStyle w:val="FootnoteText"/>
      </w:pPr>
      <w:r>
        <w:rPr>
          <w:rStyle w:val="FootnoteReference"/>
        </w:rPr>
        <w:footnoteRef/>
      </w:r>
      <w:r>
        <w:t xml:space="preserve"> Available on the ITU-R website at </w:t>
      </w:r>
      <w:hyperlink r:id="rId18" w:history="1">
        <w:r>
          <w:rPr>
            <w:rStyle w:val="Hyperlink"/>
            <w:rFonts w:eastAsiaTheme="majorEastAsia"/>
          </w:rPr>
          <w:t>www.itu.int/rec/R-REC-M.1036/en</w:t>
        </w:r>
      </w:hyperlink>
      <w:r w:rsidRPr="005759E7">
        <w:rPr>
          <w:rStyle w:val="Hyperlink"/>
          <w:rFonts w:eastAsiaTheme="majorEastAsia"/>
          <w:color w:val="auto"/>
          <w:u w:val="none"/>
        </w:rPr>
        <w:t>.</w:t>
      </w:r>
      <w:r>
        <w:t xml:space="preserve"> </w:t>
      </w:r>
    </w:p>
  </w:footnote>
  <w:footnote w:id="29">
    <w:p w14:paraId="6F8273EC" w14:textId="77777777" w:rsidR="00406ADF" w:rsidRDefault="00406ADF" w:rsidP="003E4A13">
      <w:pPr>
        <w:pStyle w:val="FootnoteText"/>
      </w:pPr>
      <w:r>
        <w:rPr>
          <w:rStyle w:val="FootnoteReference"/>
        </w:rPr>
        <w:footnoteRef/>
      </w:r>
      <w:r>
        <w:t xml:space="preserve"> GSA—Global mobile Suppliers Association, </w:t>
      </w:r>
      <w:hyperlink r:id="rId19" w:history="1">
        <w:r>
          <w:rPr>
            <w:rStyle w:val="Hyperlink"/>
            <w:rFonts w:eastAsiaTheme="majorEastAsia"/>
          </w:rPr>
          <w:t>The case for new 5G spectrum</w:t>
        </w:r>
      </w:hyperlink>
      <w:r>
        <w:t xml:space="preserve">, November </w:t>
      </w:r>
      <w:r w:rsidRPr="004F48A6">
        <w:t>2016.</w:t>
      </w:r>
    </w:p>
  </w:footnote>
  <w:footnote w:id="30">
    <w:p w14:paraId="7AA60DEE" w14:textId="77777777" w:rsidR="00406ADF" w:rsidRDefault="00406ADF" w:rsidP="00A0514D">
      <w:pPr>
        <w:pStyle w:val="FootnoteText"/>
      </w:pPr>
      <w:r>
        <w:rPr>
          <w:rStyle w:val="FootnoteReference"/>
        </w:rPr>
        <w:footnoteRef/>
      </w:r>
      <w:r>
        <w:t xml:space="preserve"> </w:t>
      </w:r>
      <w:hyperlink r:id="rId20" w:history="1">
        <w:r w:rsidRPr="000A66CC">
          <w:rPr>
            <w:rStyle w:val="Hyperlink"/>
          </w:rPr>
          <w:t>Order and notice of proposed rulemaking – FCC 1</w:t>
        </w:r>
        <w:r>
          <w:rPr>
            <w:rStyle w:val="Hyperlink"/>
          </w:rPr>
          <w:t>8</w:t>
        </w:r>
        <w:r w:rsidRPr="000A66CC">
          <w:rPr>
            <w:rStyle w:val="Hyperlink"/>
          </w:rPr>
          <w:t>-91</w:t>
        </w:r>
      </w:hyperlink>
    </w:p>
  </w:footnote>
  <w:footnote w:id="31">
    <w:p w14:paraId="4F716490" w14:textId="77777777" w:rsidR="00406ADF" w:rsidRDefault="00406ADF" w:rsidP="00A0514D">
      <w:pPr>
        <w:pStyle w:val="FootnoteText"/>
      </w:pPr>
      <w:r>
        <w:rPr>
          <w:rStyle w:val="FootnoteReference"/>
        </w:rPr>
        <w:footnoteRef/>
      </w:r>
      <w:r>
        <w:t xml:space="preserve"> </w:t>
      </w:r>
      <w:hyperlink r:id="rId21" w:history="1">
        <w:r w:rsidRPr="00DC6AA5">
          <w:rPr>
            <w:rStyle w:val="Hyperlink"/>
            <w:rFonts w:cs="Arial"/>
            <w:lang w:val="en"/>
          </w:rPr>
          <w:t>3.8 GHz to 4.2 GHz band: Opportunities for Innovation, Ofcom</w:t>
        </w:r>
      </w:hyperlink>
    </w:p>
  </w:footnote>
  <w:footnote w:id="32">
    <w:p w14:paraId="4C2BC0F4" w14:textId="77777777" w:rsidR="00406ADF" w:rsidRDefault="00406ADF" w:rsidP="005759E7">
      <w:pPr>
        <w:pStyle w:val="FootnoteText"/>
      </w:pPr>
      <w:r>
        <w:rPr>
          <w:rStyle w:val="FootnoteReference"/>
        </w:rPr>
        <w:footnoteRef/>
      </w:r>
      <w:r>
        <w:t xml:space="preserve"> </w:t>
      </w:r>
      <w:r w:rsidRPr="00543753">
        <w:rPr>
          <w:rFonts w:cs="Arial"/>
        </w:rPr>
        <w:t xml:space="preserve">Refer to the </w:t>
      </w:r>
      <w:hyperlink r:id="rId22" w:history="1">
        <w:r w:rsidRPr="00543753">
          <w:rPr>
            <w:rStyle w:val="Hyperlink"/>
            <w:rFonts w:cs="Arial"/>
            <w:bCs/>
          </w:rPr>
          <w:t>Radiocommunications (Spectrum Re-allocation—3.6 GHz Band for Adelaide and Eastern Metropolitan Australia) Declaration 2018</w:t>
        </w:r>
      </w:hyperlink>
      <w:r w:rsidRPr="00543753">
        <w:rPr>
          <w:rFonts w:cs="Arial"/>
        </w:rPr>
        <w:t xml:space="preserve">, </w:t>
      </w:r>
      <w:hyperlink r:id="rId23" w:history="1">
        <w:r w:rsidRPr="00543753">
          <w:rPr>
            <w:rStyle w:val="Hyperlink"/>
            <w:rFonts w:cs="Arial"/>
            <w:bCs/>
          </w:rPr>
          <w:t>Radiocommunications (Spectrum Re-allocation—3.6 GHz Band for Perth) Declaration 2018</w:t>
        </w:r>
      </w:hyperlink>
      <w:r w:rsidRPr="00543753">
        <w:rPr>
          <w:rFonts w:cs="Arial"/>
        </w:rPr>
        <w:t xml:space="preserve"> and </w:t>
      </w:r>
      <w:hyperlink r:id="rId24" w:history="1">
        <w:r w:rsidRPr="00543753">
          <w:rPr>
            <w:rStyle w:val="Hyperlink"/>
            <w:rFonts w:cs="Arial"/>
            <w:bCs/>
          </w:rPr>
          <w:t>Radiocommunications (Spectrum Re-allocation—3.6 GHz Band for Regional Australia) Declaration 2018</w:t>
        </w:r>
      </w:hyperlink>
      <w:r w:rsidRPr="005759E7">
        <w:rPr>
          <w:rStyle w:val="Hyperlink"/>
          <w:rFonts w:cs="Arial"/>
          <w:bCs/>
          <w:color w:val="auto"/>
          <w:u w:val="none"/>
        </w:rPr>
        <w:t>.</w:t>
      </w:r>
    </w:p>
  </w:footnote>
  <w:footnote w:id="33">
    <w:p w14:paraId="459625E9" w14:textId="77777777" w:rsidR="00406ADF" w:rsidRDefault="00406ADF" w:rsidP="005759E7">
      <w:pPr>
        <w:pStyle w:val="FootnoteText"/>
      </w:pPr>
      <w:r>
        <w:rPr>
          <w:rStyle w:val="FootnoteReference"/>
        </w:rPr>
        <w:footnoteRef/>
      </w:r>
      <w:r>
        <w:t xml:space="preserve"> </w:t>
      </w:r>
      <w:r w:rsidRPr="00543753">
        <w:rPr>
          <w:rFonts w:cs="Arial"/>
        </w:rPr>
        <w:t xml:space="preserve">Refer to the </w:t>
      </w:r>
      <w:hyperlink r:id="rId25" w:history="1">
        <w:r w:rsidRPr="00543753">
          <w:rPr>
            <w:rStyle w:val="Hyperlink"/>
            <w:rFonts w:cs="Arial"/>
            <w:bCs/>
          </w:rPr>
          <w:t>Radiocommunications (Spectrum Re-allocation—3.6 GHz Band for Adelaide and Eastern Metropolitan Australia) Declaration 2018</w:t>
        </w:r>
      </w:hyperlink>
      <w:r w:rsidRPr="00543753">
        <w:rPr>
          <w:rFonts w:cs="Arial"/>
        </w:rPr>
        <w:t xml:space="preserve">, </w:t>
      </w:r>
      <w:hyperlink r:id="rId26" w:history="1">
        <w:r w:rsidRPr="00543753">
          <w:rPr>
            <w:rStyle w:val="Hyperlink"/>
            <w:rFonts w:cs="Arial"/>
            <w:bCs/>
          </w:rPr>
          <w:t>Radiocommunications (Spectrum Re-allocation—3.6 GHz Band for Perth) Declaration 2018</w:t>
        </w:r>
      </w:hyperlink>
      <w:r w:rsidRPr="00543753">
        <w:rPr>
          <w:rFonts w:cs="Arial"/>
        </w:rPr>
        <w:t xml:space="preserve"> and </w:t>
      </w:r>
      <w:hyperlink r:id="rId27" w:history="1">
        <w:r w:rsidRPr="00543753">
          <w:rPr>
            <w:rStyle w:val="Hyperlink"/>
            <w:rFonts w:cs="Arial"/>
            <w:bCs/>
          </w:rPr>
          <w:t>Radiocommunications (Spectrum Re-allocation—3.6 GHz Band for Regional Australia) Declaration 2018</w:t>
        </w:r>
      </w:hyperlink>
      <w:r w:rsidRPr="005759E7">
        <w:rPr>
          <w:rStyle w:val="Hyperlink"/>
          <w:rFonts w:cs="Arial"/>
          <w:bCs/>
          <w:color w:val="auto"/>
          <w:u w:val="none"/>
        </w:rPr>
        <w:t>.</w:t>
      </w:r>
    </w:p>
  </w:footnote>
  <w:footnote w:id="34">
    <w:p w14:paraId="2C392A3F" w14:textId="77777777" w:rsidR="00406ADF" w:rsidRDefault="00406ADF" w:rsidP="005759E7">
      <w:pPr>
        <w:pStyle w:val="FootnoteText"/>
      </w:pPr>
      <w:r>
        <w:rPr>
          <w:rStyle w:val="FootnoteReference"/>
        </w:rPr>
        <w:footnoteRef/>
      </w:r>
      <w:r>
        <w:t xml:space="preserve"> For example, those of </w:t>
      </w:r>
      <w:r w:rsidRPr="00552CAE">
        <w:rPr>
          <w:rFonts w:cs="Arial"/>
          <w:szCs w:val="20"/>
        </w:rPr>
        <w:t xml:space="preserve">the </w:t>
      </w:r>
      <w:r w:rsidRPr="00E325A7">
        <w:rPr>
          <w:rFonts w:cs="Arial"/>
          <w:szCs w:val="20"/>
        </w:rPr>
        <w:t>Radiocommunications (Communication with Space Object) Class Licence 2015</w:t>
      </w:r>
      <w:r>
        <w:rPr>
          <w:rFonts w:cs="Arial"/>
          <w:szCs w:val="20"/>
        </w:rPr>
        <w:t xml:space="preserve">, </w:t>
      </w:r>
      <w:hyperlink r:id="rId28" w:history="1">
        <w:r w:rsidRPr="00D220D6">
          <w:rPr>
            <w:rStyle w:val="Hyperlink"/>
            <w:rFonts w:cs="Arial"/>
            <w:szCs w:val="20"/>
            <w:lang w:val="en"/>
          </w:rPr>
          <w:t>Radiocommunications (Foreign Space Objects) Determination 2014</w:t>
        </w:r>
      </w:hyperlink>
      <w:r>
        <w:rPr>
          <w:rFonts w:cs="Arial"/>
          <w:szCs w:val="20"/>
          <w:lang w:val="en"/>
        </w:rPr>
        <w:t xml:space="preserve">, </w:t>
      </w:r>
      <w:r w:rsidRPr="00D220D6">
        <w:rPr>
          <w:rFonts w:cs="Arial"/>
          <w:szCs w:val="20"/>
          <w:lang w:val="en"/>
        </w:rPr>
        <w:t>Radiocommunications (Australian Space Objects) Determination 2014</w:t>
      </w:r>
      <w:r>
        <w:rPr>
          <w:rFonts w:cs="Arial"/>
          <w:szCs w:val="20"/>
          <w:lang w:val="en"/>
        </w:rPr>
        <w:t>.</w:t>
      </w:r>
    </w:p>
  </w:footnote>
  <w:footnote w:id="35">
    <w:p w14:paraId="28167B1F" w14:textId="77777777" w:rsidR="00406ADF" w:rsidRDefault="00406ADF" w:rsidP="000B35F0">
      <w:pPr>
        <w:pStyle w:val="FootnoteText"/>
      </w:pPr>
      <w:r>
        <w:rPr>
          <w:rStyle w:val="FootnoteReference"/>
        </w:rPr>
        <w:footnoteRef/>
      </w:r>
      <w:r>
        <w:t xml:space="preserve"> </w:t>
      </w:r>
      <w:hyperlink r:id="rId29" w:history="1">
        <w:r>
          <w:rPr>
            <w:rStyle w:val="Hyperlink"/>
          </w:rPr>
          <w:t>Business operating procedures</w:t>
        </w:r>
      </w:hyperlink>
      <w:r>
        <w:t>, including those related to space licensing, are available on the ACMA website.</w:t>
      </w:r>
    </w:p>
  </w:footnote>
  <w:footnote w:id="36">
    <w:p w14:paraId="017E0BA3" w14:textId="77777777" w:rsidR="00406ADF" w:rsidRDefault="00406ADF">
      <w:pPr>
        <w:pStyle w:val="FootnoteText"/>
      </w:pPr>
      <w:r>
        <w:rPr>
          <w:rStyle w:val="FootnoteReference"/>
        </w:rPr>
        <w:footnoteRef/>
      </w:r>
      <w:r>
        <w:t xml:space="preserve"> Refer RAII FX 20 </w:t>
      </w:r>
      <w:hyperlink r:id="rId30" w:history="1">
        <w:r w:rsidRPr="000B6880">
          <w:rPr>
            <w:rStyle w:val="Hyperlink"/>
          </w:rPr>
          <w:t>Millimetre Wave Point to point (Self-coordinated) Stations operating in the 58 GHz, 75 GHz and 85 GHz bands</w:t>
        </w:r>
      </w:hyperlink>
      <w:r>
        <w:rPr>
          <w:rStyle w:val="Hyperlink"/>
        </w:rPr>
        <w:t>.</w:t>
      </w:r>
    </w:p>
  </w:footnote>
  <w:footnote w:id="37">
    <w:p w14:paraId="5B91289B" w14:textId="77777777" w:rsidR="00406ADF" w:rsidRDefault="00406ADF">
      <w:pPr>
        <w:pStyle w:val="FootnoteText"/>
      </w:pPr>
      <w:r>
        <w:rPr>
          <w:rStyle w:val="FootnoteReference"/>
        </w:rPr>
        <w:footnoteRef/>
      </w:r>
      <w:r>
        <w:t xml:space="preserve"> </w:t>
      </w:r>
      <w:r>
        <w:t xml:space="preserve">European Radiocommunications Committee, now replaced by the </w:t>
      </w:r>
      <w:r w:rsidRPr="00E131EB">
        <w:t>Electronic Communications Committee</w:t>
      </w:r>
      <w:r>
        <w:t xml:space="preserve">. See </w:t>
      </w:r>
      <w:hyperlink r:id="rId31" w:history="1">
        <w:r w:rsidRPr="00107190">
          <w:rPr>
            <w:rStyle w:val="Hyperlink"/>
          </w:rPr>
          <w:t>www.cept.org/cept/background</w:t>
        </w:r>
      </w:hyperlink>
      <w:r>
        <w:t xml:space="preserve">. </w:t>
      </w:r>
    </w:p>
  </w:footnote>
  <w:footnote w:id="38">
    <w:p w14:paraId="6ACFAB95" w14:textId="77777777" w:rsidR="00406ADF" w:rsidRDefault="00406ADF" w:rsidP="005759E7">
      <w:pPr>
        <w:pStyle w:val="FootnoteText"/>
      </w:pPr>
      <w:r>
        <w:rPr>
          <w:rStyle w:val="FootnoteReference"/>
        </w:rPr>
        <w:footnoteRef/>
      </w:r>
      <w:r>
        <w:t xml:space="preserve"> </w:t>
      </w:r>
      <w:hyperlink r:id="rId32" w:history="1">
        <w:r w:rsidRPr="003C7C0E">
          <w:rPr>
            <w:rStyle w:val="Hyperlink"/>
          </w:rPr>
          <w:t>One reallocation declaration</w:t>
        </w:r>
      </w:hyperlink>
      <w:r>
        <w:t xml:space="preserve"> relates to mainland capital cities other than Perth, a </w:t>
      </w:r>
      <w:hyperlink r:id="rId33" w:history="1">
        <w:r w:rsidRPr="003C7C0E">
          <w:rPr>
            <w:rStyle w:val="Hyperlink"/>
          </w:rPr>
          <w:t>second</w:t>
        </w:r>
      </w:hyperlink>
      <w:r>
        <w:t xml:space="preserve"> relates to Perth, and a </w:t>
      </w:r>
      <w:hyperlink r:id="rId34" w:history="1">
        <w:r w:rsidRPr="003C7C0E">
          <w:rPr>
            <w:rStyle w:val="Hyperlink"/>
          </w:rPr>
          <w:t>third</w:t>
        </w:r>
      </w:hyperlink>
      <w:r>
        <w:t xml:space="preserve"> relates to regional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B60C" w14:textId="77777777" w:rsidR="00406ADF" w:rsidRPr="00A5474E" w:rsidRDefault="00406ADF" w:rsidP="00A5474E">
    <w:pPr>
      <w:pStyle w:val="Header"/>
    </w:pPr>
    <w:r>
      <w:rPr>
        <w:noProof/>
      </w:rPr>
      <w:drawing>
        <wp:inline distT="0" distB="0" distL="0" distR="0" wp14:anchorId="05253C7E" wp14:editId="008E708A">
          <wp:extent cx="6388100" cy="520700"/>
          <wp:effectExtent l="0" t="0" r="0" b="12700"/>
          <wp:docPr id="10" name="Picture 10"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8F57" w14:textId="77777777" w:rsidR="00406ADF" w:rsidRPr="00A5474E" w:rsidRDefault="00406ADF" w:rsidP="00543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F73C" w14:textId="77777777" w:rsidR="00406ADF" w:rsidRDefault="00406ADF" w:rsidP="005759E7">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E870" w14:textId="77777777" w:rsidR="00406ADF" w:rsidRDefault="00406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FF63" w14:textId="77777777" w:rsidR="00406ADF" w:rsidRDefault="00406A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406ADF" w14:paraId="1318C046" w14:textId="77777777" w:rsidTr="005435F9">
      <w:trPr>
        <w:trHeight w:hRule="exact" w:val="988"/>
      </w:trPr>
      <w:tc>
        <w:tcPr>
          <w:tcW w:w="7678" w:type="dxa"/>
          <w:shd w:val="clear" w:color="auto" w:fill="auto"/>
        </w:tcPr>
        <w:p w14:paraId="0F24D554" w14:textId="77777777" w:rsidR="00406ADF" w:rsidRDefault="00406ADF" w:rsidP="005435F9">
          <w:pPr>
            <w:pStyle w:val="Header"/>
          </w:pPr>
        </w:p>
      </w:tc>
    </w:tr>
    <w:tr w:rsidR="00406ADF" w14:paraId="6A0FCD40" w14:textId="77777777" w:rsidTr="005435F9">
      <w:tc>
        <w:tcPr>
          <w:tcW w:w="7678" w:type="dxa"/>
          <w:shd w:val="clear" w:color="auto" w:fill="auto"/>
        </w:tcPr>
        <w:p w14:paraId="3794FF38" w14:textId="77777777" w:rsidR="00406ADF" w:rsidRDefault="00406ADF" w:rsidP="005435F9">
          <w:pPr>
            <w:pStyle w:val="GridTable31"/>
          </w:pPr>
          <w:r>
            <w:t xml:space="preserve">Contents </w:t>
          </w:r>
          <w:r w:rsidRPr="00915B1C">
            <w:rPr>
              <w:b w:val="0"/>
              <w:spacing w:val="0"/>
              <w:sz w:val="28"/>
              <w:szCs w:val="28"/>
            </w:rPr>
            <w:t>(Continued)</w:t>
          </w:r>
        </w:p>
      </w:tc>
    </w:tr>
    <w:tr w:rsidR="00406ADF" w14:paraId="2D7306DC" w14:textId="77777777" w:rsidTr="005435F9">
      <w:trPr>
        <w:trHeight w:val="1220"/>
      </w:trPr>
      <w:tc>
        <w:tcPr>
          <w:tcW w:w="7678" w:type="dxa"/>
          <w:shd w:val="clear" w:color="auto" w:fill="auto"/>
        </w:tcPr>
        <w:p w14:paraId="7B41FC25" w14:textId="77777777" w:rsidR="00406ADF" w:rsidRDefault="00406ADF" w:rsidP="005435F9"/>
      </w:tc>
    </w:tr>
  </w:tbl>
  <w:p w14:paraId="30DB03A9" w14:textId="77777777" w:rsidR="00406ADF" w:rsidRPr="00652FC3" w:rsidRDefault="00406ADF" w:rsidP="004C4F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406ADF" w14:paraId="7F7DDCF3" w14:textId="77777777" w:rsidTr="00F16F31">
      <w:trPr>
        <w:trHeight w:hRule="exact" w:val="988"/>
      </w:trPr>
      <w:tc>
        <w:tcPr>
          <w:tcW w:w="7678" w:type="dxa"/>
          <w:shd w:val="clear" w:color="auto" w:fill="auto"/>
        </w:tcPr>
        <w:p w14:paraId="6864D64B" w14:textId="77777777" w:rsidR="00406ADF" w:rsidRDefault="00406ADF" w:rsidP="00F16F31">
          <w:pPr>
            <w:pStyle w:val="Header"/>
          </w:pPr>
        </w:p>
      </w:tc>
    </w:tr>
    <w:tr w:rsidR="00406ADF" w14:paraId="7A3D87BD" w14:textId="77777777" w:rsidTr="00F16F31">
      <w:tc>
        <w:tcPr>
          <w:tcW w:w="7678" w:type="dxa"/>
          <w:shd w:val="clear" w:color="auto" w:fill="auto"/>
        </w:tcPr>
        <w:p w14:paraId="1A925116" w14:textId="77777777" w:rsidR="00406ADF" w:rsidRDefault="00406ADF" w:rsidP="00F16F31">
          <w:pPr>
            <w:pStyle w:val="GridTable31"/>
          </w:pPr>
          <w:r>
            <w:t xml:space="preserve">Contents </w:t>
          </w:r>
          <w:r w:rsidRPr="00915B1C">
            <w:rPr>
              <w:b w:val="0"/>
              <w:spacing w:val="0"/>
              <w:sz w:val="28"/>
              <w:szCs w:val="28"/>
            </w:rPr>
            <w:t>(Continued)</w:t>
          </w:r>
        </w:p>
      </w:tc>
    </w:tr>
    <w:tr w:rsidR="00406ADF" w14:paraId="3AC9DF72" w14:textId="77777777" w:rsidTr="00F16F31">
      <w:trPr>
        <w:trHeight w:val="1220"/>
      </w:trPr>
      <w:tc>
        <w:tcPr>
          <w:tcW w:w="7678" w:type="dxa"/>
          <w:shd w:val="clear" w:color="auto" w:fill="auto"/>
        </w:tcPr>
        <w:p w14:paraId="258D5A31" w14:textId="77777777" w:rsidR="00406ADF" w:rsidRDefault="00406ADF" w:rsidP="00F16F31"/>
      </w:tc>
    </w:tr>
  </w:tbl>
  <w:p w14:paraId="6D8DE37D" w14:textId="77777777" w:rsidR="00406ADF" w:rsidRPr="00A5474E" w:rsidRDefault="00406ADF" w:rsidP="005435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962C" w14:textId="77777777" w:rsidR="00406ADF" w:rsidRDefault="00406A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771D4" w14:textId="77777777" w:rsidR="00406ADF" w:rsidRDefault="00406ADF">
    <w:pPr>
      <w:pStyle w:val="Header"/>
    </w:pPr>
  </w:p>
  <w:p w14:paraId="17168CE9" w14:textId="77777777" w:rsidR="00406ADF" w:rsidRDefault="00406AD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F228" w14:textId="77777777" w:rsidR="00406ADF" w:rsidRPr="006F542F" w:rsidRDefault="00406ADF" w:rsidP="00704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2pt;visibility:visible" o:bullet="t">
        <v:imagedata r:id="rId1" o:title=""/>
      </v:shape>
    </w:pict>
  </w:numPicBullet>
  <w:abstractNum w:abstractNumId="0" w15:restartNumberingAfterBreak="0">
    <w:nsid w:val="FFFFFF7C"/>
    <w:multiLevelType w:val="singleLevel"/>
    <w:tmpl w:val="43080282"/>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8"/>
    <w:multiLevelType w:val="singleLevel"/>
    <w:tmpl w:val="3FAE410A"/>
    <w:lvl w:ilvl="0">
      <w:start w:val="5"/>
      <w:numFmt w:val="decimal"/>
      <w:lvlText w:val="%1."/>
      <w:lvlJc w:val="left"/>
      <w:pPr>
        <w:ind w:left="360" w:hanging="360"/>
      </w:pPr>
      <w:rPr>
        <w:rFonts w:hint="default"/>
        <w:caps/>
        <w:sz w:val="20"/>
      </w:rPr>
    </w:lvl>
  </w:abstractNum>
  <w:abstractNum w:abstractNumId="3" w15:restartNumberingAfterBreak="0">
    <w:nsid w:val="FFFFFF89"/>
    <w:multiLevelType w:val="singleLevel"/>
    <w:tmpl w:val="2BB8948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1C77057"/>
    <w:multiLevelType w:val="hybridMultilevel"/>
    <w:tmpl w:val="3086ECFE"/>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1EC78A3"/>
    <w:multiLevelType w:val="hybridMultilevel"/>
    <w:tmpl w:val="AA2AC26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17777D"/>
    <w:multiLevelType w:val="hybridMultilevel"/>
    <w:tmpl w:val="F1F27796"/>
    <w:lvl w:ilvl="0" w:tplc="CCE4EB06">
      <w:start w:val="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F55D5B"/>
    <w:multiLevelType w:val="hybridMultilevel"/>
    <w:tmpl w:val="4A26015C"/>
    <w:lvl w:ilvl="0" w:tplc="701C4CA0">
      <w:start w:val="1"/>
      <w:numFmt w:val="bullet"/>
      <w:lvlText w:val=""/>
      <w:lvlPicBulletId w:val="0"/>
      <w:lvlJc w:val="left"/>
      <w:pPr>
        <w:tabs>
          <w:tab w:val="num" w:pos="360"/>
        </w:tabs>
        <w:ind w:left="360" w:hanging="360"/>
      </w:pPr>
      <w:rPr>
        <w:rFonts w:ascii="Symbol" w:hAnsi="Symbol" w:hint="default"/>
      </w:rPr>
    </w:lvl>
    <w:lvl w:ilvl="1" w:tplc="21C255FE" w:tentative="1">
      <w:start w:val="1"/>
      <w:numFmt w:val="bullet"/>
      <w:lvlText w:val=""/>
      <w:lvlJc w:val="left"/>
      <w:pPr>
        <w:tabs>
          <w:tab w:val="num" w:pos="1080"/>
        </w:tabs>
        <w:ind w:left="1080" w:hanging="360"/>
      </w:pPr>
      <w:rPr>
        <w:rFonts w:ascii="Symbol" w:hAnsi="Symbol" w:hint="default"/>
      </w:rPr>
    </w:lvl>
    <w:lvl w:ilvl="2" w:tplc="47BC7F62" w:tentative="1">
      <w:start w:val="1"/>
      <w:numFmt w:val="bullet"/>
      <w:lvlText w:val=""/>
      <w:lvlJc w:val="left"/>
      <w:pPr>
        <w:tabs>
          <w:tab w:val="num" w:pos="1800"/>
        </w:tabs>
        <w:ind w:left="1800" w:hanging="360"/>
      </w:pPr>
      <w:rPr>
        <w:rFonts w:ascii="Symbol" w:hAnsi="Symbol" w:hint="default"/>
      </w:rPr>
    </w:lvl>
    <w:lvl w:ilvl="3" w:tplc="47AE559E" w:tentative="1">
      <w:start w:val="1"/>
      <w:numFmt w:val="bullet"/>
      <w:lvlText w:val=""/>
      <w:lvlJc w:val="left"/>
      <w:pPr>
        <w:tabs>
          <w:tab w:val="num" w:pos="2520"/>
        </w:tabs>
        <w:ind w:left="2520" w:hanging="360"/>
      </w:pPr>
      <w:rPr>
        <w:rFonts w:ascii="Symbol" w:hAnsi="Symbol" w:hint="default"/>
      </w:rPr>
    </w:lvl>
    <w:lvl w:ilvl="4" w:tplc="FF9A6E92" w:tentative="1">
      <w:start w:val="1"/>
      <w:numFmt w:val="bullet"/>
      <w:lvlText w:val=""/>
      <w:lvlJc w:val="left"/>
      <w:pPr>
        <w:tabs>
          <w:tab w:val="num" w:pos="3240"/>
        </w:tabs>
        <w:ind w:left="3240" w:hanging="360"/>
      </w:pPr>
      <w:rPr>
        <w:rFonts w:ascii="Symbol" w:hAnsi="Symbol" w:hint="default"/>
      </w:rPr>
    </w:lvl>
    <w:lvl w:ilvl="5" w:tplc="66DC8DFE" w:tentative="1">
      <w:start w:val="1"/>
      <w:numFmt w:val="bullet"/>
      <w:lvlText w:val=""/>
      <w:lvlJc w:val="left"/>
      <w:pPr>
        <w:tabs>
          <w:tab w:val="num" w:pos="3960"/>
        </w:tabs>
        <w:ind w:left="3960" w:hanging="360"/>
      </w:pPr>
      <w:rPr>
        <w:rFonts w:ascii="Symbol" w:hAnsi="Symbol" w:hint="default"/>
      </w:rPr>
    </w:lvl>
    <w:lvl w:ilvl="6" w:tplc="B434BDB6" w:tentative="1">
      <w:start w:val="1"/>
      <w:numFmt w:val="bullet"/>
      <w:lvlText w:val=""/>
      <w:lvlJc w:val="left"/>
      <w:pPr>
        <w:tabs>
          <w:tab w:val="num" w:pos="4680"/>
        </w:tabs>
        <w:ind w:left="4680" w:hanging="360"/>
      </w:pPr>
      <w:rPr>
        <w:rFonts w:ascii="Symbol" w:hAnsi="Symbol" w:hint="default"/>
      </w:rPr>
    </w:lvl>
    <w:lvl w:ilvl="7" w:tplc="936E8110" w:tentative="1">
      <w:start w:val="1"/>
      <w:numFmt w:val="bullet"/>
      <w:lvlText w:val=""/>
      <w:lvlJc w:val="left"/>
      <w:pPr>
        <w:tabs>
          <w:tab w:val="num" w:pos="5400"/>
        </w:tabs>
        <w:ind w:left="5400" w:hanging="360"/>
      </w:pPr>
      <w:rPr>
        <w:rFonts w:ascii="Symbol" w:hAnsi="Symbol" w:hint="default"/>
      </w:rPr>
    </w:lvl>
    <w:lvl w:ilvl="8" w:tplc="E4E0F096"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11261C13"/>
    <w:multiLevelType w:val="hybridMultilevel"/>
    <w:tmpl w:val="576E690A"/>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B532BB"/>
    <w:multiLevelType w:val="hybridMultilevel"/>
    <w:tmpl w:val="DEA88E9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712ADA"/>
    <w:multiLevelType w:val="hybridMultilevel"/>
    <w:tmpl w:val="2BC0C4AE"/>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A2577F"/>
    <w:multiLevelType w:val="hybridMultilevel"/>
    <w:tmpl w:val="EBA6EB0C"/>
    <w:lvl w:ilvl="0" w:tplc="F89064B2">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7E7AF3"/>
    <w:multiLevelType w:val="hybridMultilevel"/>
    <w:tmpl w:val="A82EA0B0"/>
    <w:lvl w:ilvl="0" w:tplc="D1C86270">
      <w:start w:val="1"/>
      <w:numFmt w:val="bullet"/>
      <w:lvlText w:val="&gt;"/>
      <w:lvlJc w:val="left"/>
      <w:pPr>
        <w:ind w:left="360" w:hanging="360"/>
      </w:pPr>
      <w:rPr>
        <w:rFonts w:ascii="HelveticaNeueLT Std Lt" w:hAnsi="HelveticaNeueLT Std Lt" w:hint="default"/>
        <w:sz w:val="20"/>
      </w:rPr>
    </w:lvl>
    <w:lvl w:ilvl="1" w:tplc="D1C86270">
      <w:start w:val="1"/>
      <w:numFmt w:val="bullet"/>
      <w:lvlText w:val="&gt;"/>
      <w:lvlJc w:val="left"/>
      <w:pPr>
        <w:ind w:left="1080" w:hanging="360"/>
      </w:pPr>
      <w:rPr>
        <w:rFonts w:ascii="HelveticaNeueLT Std Lt" w:hAnsi="HelveticaNeueLT Std Lt"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7B0314"/>
    <w:multiLevelType w:val="hybridMultilevel"/>
    <w:tmpl w:val="AFA606B2"/>
    <w:lvl w:ilvl="0" w:tplc="0C090001">
      <w:start w:val="1"/>
      <w:numFmt w:val="bullet"/>
      <w:lvlText w:val=""/>
      <w:lvlJc w:val="left"/>
      <w:pPr>
        <w:ind w:left="655" w:hanging="360"/>
      </w:pPr>
      <w:rPr>
        <w:rFonts w:ascii="Symbol" w:hAnsi="Symbol" w:hint="default"/>
      </w:rPr>
    </w:lvl>
    <w:lvl w:ilvl="1" w:tplc="0C090003">
      <w:start w:val="1"/>
      <w:numFmt w:val="bullet"/>
      <w:lvlText w:val="o"/>
      <w:lvlJc w:val="left"/>
      <w:pPr>
        <w:ind w:left="1375" w:hanging="360"/>
      </w:pPr>
      <w:rPr>
        <w:rFonts w:ascii="Courier New" w:hAnsi="Courier New" w:cs="Courier New" w:hint="default"/>
      </w:rPr>
    </w:lvl>
    <w:lvl w:ilvl="2" w:tplc="0C090005">
      <w:start w:val="1"/>
      <w:numFmt w:val="bullet"/>
      <w:lvlText w:val=""/>
      <w:lvlJc w:val="left"/>
      <w:pPr>
        <w:ind w:left="2095" w:hanging="360"/>
      </w:pPr>
      <w:rPr>
        <w:rFonts w:ascii="Wingdings" w:hAnsi="Wingdings" w:hint="default"/>
      </w:rPr>
    </w:lvl>
    <w:lvl w:ilvl="3" w:tplc="0C090001">
      <w:start w:val="1"/>
      <w:numFmt w:val="bullet"/>
      <w:lvlText w:val=""/>
      <w:lvlJc w:val="left"/>
      <w:pPr>
        <w:ind w:left="2815" w:hanging="360"/>
      </w:pPr>
      <w:rPr>
        <w:rFonts w:ascii="Symbol" w:hAnsi="Symbol" w:hint="default"/>
      </w:rPr>
    </w:lvl>
    <w:lvl w:ilvl="4" w:tplc="0C090003">
      <w:start w:val="1"/>
      <w:numFmt w:val="bullet"/>
      <w:lvlText w:val="o"/>
      <w:lvlJc w:val="left"/>
      <w:pPr>
        <w:ind w:left="3535" w:hanging="360"/>
      </w:pPr>
      <w:rPr>
        <w:rFonts w:ascii="Courier New" w:hAnsi="Courier New" w:cs="Courier New" w:hint="default"/>
      </w:rPr>
    </w:lvl>
    <w:lvl w:ilvl="5" w:tplc="0C090005">
      <w:start w:val="1"/>
      <w:numFmt w:val="bullet"/>
      <w:lvlText w:val=""/>
      <w:lvlJc w:val="left"/>
      <w:pPr>
        <w:ind w:left="4255" w:hanging="360"/>
      </w:pPr>
      <w:rPr>
        <w:rFonts w:ascii="Wingdings" w:hAnsi="Wingdings" w:hint="default"/>
      </w:rPr>
    </w:lvl>
    <w:lvl w:ilvl="6" w:tplc="0C090001">
      <w:start w:val="1"/>
      <w:numFmt w:val="bullet"/>
      <w:lvlText w:val=""/>
      <w:lvlJc w:val="left"/>
      <w:pPr>
        <w:ind w:left="4975" w:hanging="360"/>
      </w:pPr>
      <w:rPr>
        <w:rFonts w:ascii="Symbol" w:hAnsi="Symbol" w:hint="default"/>
      </w:rPr>
    </w:lvl>
    <w:lvl w:ilvl="7" w:tplc="0C090003">
      <w:start w:val="1"/>
      <w:numFmt w:val="bullet"/>
      <w:lvlText w:val="o"/>
      <w:lvlJc w:val="left"/>
      <w:pPr>
        <w:ind w:left="5695" w:hanging="360"/>
      </w:pPr>
      <w:rPr>
        <w:rFonts w:ascii="Courier New" w:hAnsi="Courier New" w:cs="Courier New" w:hint="default"/>
      </w:rPr>
    </w:lvl>
    <w:lvl w:ilvl="8" w:tplc="0C090005">
      <w:start w:val="1"/>
      <w:numFmt w:val="bullet"/>
      <w:lvlText w:val=""/>
      <w:lvlJc w:val="left"/>
      <w:pPr>
        <w:ind w:left="6415" w:hanging="360"/>
      </w:pPr>
      <w:rPr>
        <w:rFonts w:ascii="Wingdings" w:hAnsi="Wingdings" w:hint="default"/>
      </w:rPr>
    </w:lvl>
  </w:abstractNum>
  <w:abstractNum w:abstractNumId="14" w15:restartNumberingAfterBreak="0">
    <w:nsid w:val="1C6A3AE2"/>
    <w:multiLevelType w:val="hybridMultilevel"/>
    <w:tmpl w:val="85601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A52D9D"/>
    <w:multiLevelType w:val="singleLevel"/>
    <w:tmpl w:val="3FAE410A"/>
    <w:lvl w:ilvl="0">
      <w:start w:val="5"/>
      <w:numFmt w:val="decimal"/>
      <w:lvlText w:val="%1."/>
      <w:lvlJc w:val="left"/>
      <w:pPr>
        <w:ind w:left="360" w:hanging="360"/>
      </w:pPr>
      <w:rPr>
        <w:rFonts w:hint="default"/>
        <w:caps/>
        <w:sz w:val="20"/>
      </w:rPr>
    </w:lvl>
  </w:abstractNum>
  <w:abstractNum w:abstractNumId="16" w15:restartNumberingAfterBreak="0">
    <w:nsid w:val="1D63173B"/>
    <w:multiLevelType w:val="hybridMultilevel"/>
    <w:tmpl w:val="E400906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396120"/>
    <w:multiLevelType w:val="hybridMultilevel"/>
    <w:tmpl w:val="B95442E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D821AC"/>
    <w:multiLevelType w:val="hybridMultilevel"/>
    <w:tmpl w:val="EA763EE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195866"/>
    <w:multiLevelType w:val="hybridMultilevel"/>
    <w:tmpl w:val="10CCE35A"/>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7023E5"/>
    <w:multiLevelType w:val="hybridMultilevel"/>
    <w:tmpl w:val="731C5BFE"/>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4ED51AA"/>
    <w:multiLevelType w:val="hybridMultilevel"/>
    <w:tmpl w:val="493E57C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81D1869"/>
    <w:multiLevelType w:val="hybridMultilevel"/>
    <w:tmpl w:val="44CCDBB4"/>
    <w:lvl w:ilvl="0" w:tplc="B4DE5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0C6948"/>
    <w:multiLevelType w:val="hybridMultilevel"/>
    <w:tmpl w:val="7730067A"/>
    <w:lvl w:ilvl="0" w:tplc="300E0102">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5673"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30530E9F"/>
    <w:multiLevelType w:val="hybridMultilevel"/>
    <w:tmpl w:val="3D94D9F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DB60EF"/>
    <w:multiLevelType w:val="hybridMultilevel"/>
    <w:tmpl w:val="E152A79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394D73C6"/>
    <w:multiLevelType w:val="hybridMultilevel"/>
    <w:tmpl w:val="8B747E5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A2E38ED"/>
    <w:multiLevelType w:val="hybridMultilevel"/>
    <w:tmpl w:val="1744FA5A"/>
    <w:lvl w:ilvl="0" w:tplc="E27C4EB8">
      <w:start w:val="1"/>
      <w:numFmt w:val="bullet"/>
      <w:lvlText w:val=""/>
      <w:lvlPicBulletId w:val="0"/>
      <w:lvlJc w:val="left"/>
      <w:pPr>
        <w:tabs>
          <w:tab w:val="num" w:pos="360"/>
        </w:tabs>
        <w:ind w:left="360" w:hanging="360"/>
      </w:pPr>
      <w:rPr>
        <w:rFonts w:ascii="Symbol" w:hAnsi="Symbol" w:hint="default"/>
      </w:rPr>
    </w:lvl>
    <w:lvl w:ilvl="1" w:tplc="60564764" w:tentative="1">
      <w:start w:val="1"/>
      <w:numFmt w:val="bullet"/>
      <w:lvlText w:val=""/>
      <w:lvlJc w:val="left"/>
      <w:pPr>
        <w:tabs>
          <w:tab w:val="num" w:pos="1080"/>
        </w:tabs>
        <w:ind w:left="1080" w:hanging="360"/>
      </w:pPr>
      <w:rPr>
        <w:rFonts w:ascii="Symbol" w:hAnsi="Symbol" w:hint="default"/>
      </w:rPr>
    </w:lvl>
    <w:lvl w:ilvl="2" w:tplc="4C2A4584" w:tentative="1">
      <w:start w:val="1"/>
      <w:numFmt w:val="bullet"/>
      <w:lvlText w:val=""/>
      <w:lvlJc w:val="left"/>
      <w:pPr>
        <w:tabs>
          <w:tab w:val="num" w:pos="1800"/>
        </w:tabs>
        <w:ind w:left="1800" w:hanging="360"/>
      </w:pPr>
      <w:rPr>
        <w:rFonts w:ascii="Symbol" w:hAnsi="Symbol" w:hint="default"/>
      </w:rPr>
    </w:lvl>
    <w:lvl w:ilvl="3" w:tplc="3F4832D0" w:tentative="1">
      <w:start w:val="1"/>
      <w:numFmt w:val="bullet"/>
      <w:lvlText w:val=""/>
      <w:lvlJc w:val="left"/>
      <w:pPr>
        <w:tabs>
          <w:tab w:val="num" w:pos="2520"/>
        </w:tabs>
        <w:ind w:left="2520" w:hanging="360"/>
      </w:pPr>
      <w:rPr>
        <w:rFonts w:ascii="Symbol" w:hAnsi="Symbol" w:hint="default"/>
      </w:rPr>
    </w:lvl>
    <w:lvl w:ilvl="4" w:tplc="B256014C" w:tentative="1">
      <w:start w:val="1"/>
      <w:numFmt w:val="bullet"/>
      <w:lvlText w:val=""/>
      <w:lvlJc w:val="left"/>
      <w:pPr>
        <w:tabs>
          <w:tab w:val="num" w:pos="3240"/>
        </w:tabs>
        <w:ind w:left="3240" w:hanging="360"/>
      </w:pPr>
      <w:rPr>
        <w:rFonts w:ascii="Symbol" w:hAnsi="Symbol" w:hint="default"/>
      </w:rPr>
    </w:lvl>
    <w:lvl w:ilvl="5" w:tplc="20522C16" w:tentative="1">
      <w:start w:val="1"/>
      <w:numFmt w:val="bullet"/>
      <w:lvlText w:val=""/>
      <w:lvlJc w:val="left"/>
      <w:pPr>
        <w:tabs>
          <w:tab w:val="num" w:pos="3960"/>
        </w:tabs>
        <w:ind w:left="3960" w:hanging="360"/>
      </w:pPr>
      <w:rPr>
        <w:rFonts w:ascii="Symbol" w:hAnsi="Symbol" w:hint="default"/>
      </w:rPr>
    </w:lvl>
    <w:lvl w:ilvl="6" w:tplc="9FA62610" w:tentative="1">
      <w:start w:val="1"/>
      <w:numFmt w:val="bullet"/>
      <w:lvlText w:val=""/>
      <w:lvlJc w:val="left"/>
      <w:pPr>
        <w:tabs>
          <w:tab w:val="num" w:pos="4680"/>
        </w:tabs>
        <w:ind w:left="4680" w:hanging="360"/>
      </w:pPr>
      <w:rPr>
        <w:rFonts w:ascii="Symbol" w:hAnsi="Symbol" w:hint="default"/>
      </w:rPr>
    </w:lvl>
    <w:lvl w:ilvl="7" w:tplc="942E48EE" w:tentative="1">
      <w:start w:val="1"/>
      <w:numFmt w:val="bullet"/>
      <w:lvlText w:val=""/>
      <w:lvlJc w:val="left"/>
      <w:pPr>
        <w:tabs>
          <w:tab w:val="num" w:pos="5400"/>
        </w:tabs>
        <w:ind w:left="5400" w:hanging="360"/>
      </w:pPr>
      <w:rPr>
        <w:rFonts w:ascii="Symbol" w:hAnsi="Symbol" w:hint="default"/>
      </w:rPr>
    </w:lvl>
    <w:lvl w:ilvl="8" w:tplc="65D897A8"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3F015658"/>
    <w:multiLevelType w:val="hybridMultilevel"/>
    <w:tmpl w:val="530C6154"/>
    <w:lvl w:ilvl="0" w:tplc="08D2AB58">
      <w:start w:val="1"/>
      <w:numFmt w:val="bullet"/>
      <w:lvlText w:val="&gt;"/>
      <w:lvlJc w:val="left"/>
      <w:pPr>
        <w:ind w:left="1015" w:hanging="360"/>
      </w:pPr>
      <w:rPr>
        <w:rFonts w:ascii="HelveticaNeueLT Std Lt" w:hAnsi="HelveticaNeueLT Std Lt" w:hint="default"/>
        <w:sz w:val="20"/>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1" w15:restartNumberingAfterBreak="0">
    <w:nsid w:val="3F9A3FD6"/>
    <w:multiLevelType w:val="hybridMultilevel"/>
    <w:tmpl w:val="7F9E54F0"/>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13B29F2"/>
    <w:multiLevelType w:val="hybridMultilevel"/>
    <w:tmpl w:val="6A409F7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14F2F0E"/>
    <w:multiLevelType w:val="hybridMultilevel"/>
    <w:tmpl w:val="C3760D4A"/>
    <w:lvl w:ilvl="0" w:tplc="D1C86270">
      <w:start w:val="1"/>
      <w:numFmt w:val="bullet"/>
      <w:lvlText w:val="&gt;"/>
      <w:lvlJc w:val="left"/>
      <w:pPr>
        <w:ind w:left="360" w:hanging="360"/>
      </w:pPr>
      <w:rPr>
        <w:rFonts w:ascii="HelveticaNeueLT Std Lt" w:hAnsi="HelveticaNeueLT Std Lt"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364675"/>
    <w:multiLevelType w:val="hybridMultilevel"/>
    <w:tmpl w:val="65DE928A"/>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356006F"/>
    <w:multiLevelType w:val="hybridMultilevel"/>
    <w:tmpl w:val="88F8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C20D1C"/>
    <w:multiLevelType w:val="hybridMultilevel"/>
    <w:tmpl w:val="315AA4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995299D"/>
    <w:multiLevelType w:val="hybridMultilevel"/>
    <w:tmpl w:val="60E82FAC"/>
    <w:lvl w:ilvl="0" w:tplc="08D2AB58">
      <w:start w:val="1"/>
      <w:numFmt w:val="bullet"/>
      <w:lvlText w:val="&gt;"/>
      <w:lvlJc w:val="left"/>
      <w:pPr>
        <w:ind w:left="360" w:hanging="360"/>
      </w:pPr>
      <w:rPr>
        <w:rFonts w:ascii="HelveticaNeueLT Std Lt" w:hAnsi="HelveticaNeueLT Std Lt" w:hint="default"/>
        <w:sz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4FE84CFE"/>
    <w:multiLevelType w:val="hybridMultilevel"/>
    <w:tmpl w:val="400EE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51FE36F3"/>
    <w:multiLevelType w:val="hybridMultilevel"/>
    <w:tmpl w:val="4D681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5877297"/>
    <w:multiLevelType w:val="hybridMultilevel"/>
    <w:tmpl w:val="C19872CA"/>
    <w:lvl w:ilvl="0" w:tplc="4D0C40AE">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5AA21F0"/>
    <w:multiLevelType w:val="hybridMultilevel"/>
    <w:tmpl w:val="ED2EBEB4"/>
    <w:lvl w:ilvl="0" w:tplc="AA921180">
      <w:start w:val="1"/>
      <w:numFmt w:val="decimal"/>
      <w:pStyle w:val="ACMATableHeader"/>
      <w:lvlText w:val="Table %1:"/>
      <w:lvlJc w:val="left"/>
      <w:pPr>
        <w:tabs>
          <w:tab w:val="num" w:pos="964"/>
        </w:tabs>
        <w:ind w:left="964" w:hanging="9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004103"/>
    <w:multiLevelType w:val="hybridMultilevel"/>
    <w:tmpl w:val="13503EF8"/>
    <w:lvl w:ilvl="0" w:tplc="6A3629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DB1CE7"/>
    <w:multiLevelType w:val="hybridMultilevel"/>
    <w:tmpl w:val="1EC2390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30D449B"/>
    <w:multiLevelType w:val="hybridMultilevel"/>
    <w:tmpl w:val="E154103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AA41DB"/>
    <w:multiLevelType w:val="hybridMultilevel"/>
    <w:tmpl w:val="5E4C076A"/>
    <w:lvl w:ilvl="0" w:tplc="CD1E7A42">
      <w:start w:val="1"/>
      <w:numFmt w:val="decimal"/>
      <w:pStyle w:val="ListNumb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247FCA"/>
    <w:multiLevelType w:val="hybridMultilevel"/>
    <w:tmpl w:val="6F30EF94"/>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C4741E"/>
    <w:multiLevelType w:val="hybridMultilevel"/>
    <w:tmpl w:val="06BA87B2"/>
    <w:lvl w:ilvl="0" w:tplc="9C40EA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5071478"/>
    <w:multiLevelType w:val="hybridMultilevel"/>
    <w:tmpl w:val="6B3444A0"/>
    <w:lvl w:ilvl="0" w:tplc="01D2533A">
      <w:start w:val="1"/>
      <w:numFmt w:val="decimal"/>
      <w:pStyle w:val="ACMAFigureHeader"/>
      <w:lvlText w:val="Figure %1: "/>
      <w:lvlJc w:val="left"/>
      <w:pPr>
        <w:tabs>
          <w:tab w:val="num" w:pos="1021"/>
        </w:tabs>
        <w:ind w:left="1021" w:hanging="1021"/>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64721D"/>
    <w:multiLevelType w:val="hybridMultilevel"/>
    <w:tmpl w:val="2966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5996352"/>
    <w:multiLevelType w:val="hybridMultilevel"/>
    <w:tmpl w:val="299234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67462C15"/>
    <w:multiLevelType w:val="hybridMultilevel"/>
    <w:tmpl w:val="A0822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A6142C"/>
    <w:multiLevelType w:val="hybridMultilevel"/>
    <w:tmpl w:val="1C38ECCC"/>
    <w:lvl w:ilvl="0" w:tplc="6C90657E">
      <w:start w:val="1"/>
      <w:numFmt w:val="bullet"/>
      <w:lvlText w:val=""/>
      <w:lvlJc w:val="left"/>
      <w:pPr>
        <w:ind w:left="720" w:hanging="360"/>
      </w:pPr>
      <w:rPr>
        <w:rFonts w:ascii="Symbol" w:eastAsia="Times New Roman" w:hAnsi="Symbol" w:cs="Times New Roman" w:hint="default"/>
        <w:color w:val="3232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164494"/>
    <w:multiLevelType w:val="hybridMultilevel"/>
    <w:tmpl w:val="53F2DAA0"/>
    <w:lvl w:ilvl="0" w:tplc="300E0102">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ABF7518"/>
    <w:multiLevelType w:val="hybridMultilevel"/>
    <w:tmpl w:val="B4909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8D1012"/>
    <w:multiLevelType w:val="hybridMultilevel"/>
    <w:tmpl w:val="7D9A2152"/>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E544E79"/>
    <w:multiLevelType w:val="hybridMultilevel"/>
    <w:tmpl w:val="7F2A0998"/>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F596A34"/>
    <w:multiLevelType w:val="hybridMultilevel"/>
    <w:tmpl w:val="D1E24E2C"/>
    <w:lvl w:ilvl="0" w:tplc="08D2AB58">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20E651F"/>
    <w:multiLevelType w:val="hybridMultilevel"/>
    <w:tmpl w:val="49D02094"/>
    <w:lvl w:ilvl="0" w:tplc="08D2AB58">
      <w:start w:val="1"/>
      <w:numFmt w:val="bullet"/>
      <w:lvlText w:val="&gt;"/>
      <w:lvlJc w:val="left"/>
      <w:pPr>
        <w:ind w:left="720" w:hanging="360"/>
      </w:pPr>
      <w:rPr>
        <w:rFonts w:ascii="HelveticaNeueLT Std Lt" w:hAnsi="HelveticaNeueLT Std Lt"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F2625E"/>
    <w:multiLevelType w:val="hybridMultilevel"/>
    <w:tmpl w:val="ED987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331E1D"/>
    <w:multiLevelType w:val="hybridMultilevel"/>
    <w:tmpl w:val="E988C04E"/>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7A850E27"/>
    <w:multiLevelType w:val="hybridMultilevel"/>
    <w:tmpl w:val="5C5A47DC"/>
    <w:lvl w:ilvl="0" w:tplc="34D2A76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EFF558E"/>
    <w:multiLevelType w:val="hybridMultilevel"/>
    <w:tmpl w:val="D84ED868"/>
    <w:lvl w:ilvl="0" w:tplc="C2D8703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5" w15:restartNumberingAfterBreak="0">
    <w:nsid w:val="7F35797F"/>
    <w:multiLevelType w:val="hybridMultilevel"/>
    <w:tmpl w:val="7DACA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7FDE49FE"/>
    <w:multiLevelType w:val="hybridMultilevel"/>
    <w:tmpl w:val="CF1C0650"/>
    <w:lvl w:ilvl="0" w:tplc="08D2AB58">
      <w:start w:val="1"/>
      <w:numFmt w:val="bullet"/>
      <w:lvlText w:val="&gt;"/>
      <w:lvlJc w:val="left"/>
      <w:pPr>
        <w:ind w:left="1080" w:hanging="360"/>
      </w:pPr>
      <w:rPr>
        <w:rFonts w:ascii="HelveticaNeueLT Std Lt" w:hAnsi="HelveticaNeueLT Std Lt"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24"/>
  </w:num>
  <w:num w:numId="5">
    <w:abstractNumId w:val="49"/>
  </w:num>
  <w:num w:numId="6">
    <w:abstractNumId w:val="41"/>
  </w:num>
  <w:num w:numId="7">
    <w:abstractNumId w:val="46"/>
  </w:num>
  <w:num w:numId="8">
    <w:abstractNumId w:val="5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32"/>
  </w:num>
  <w:num w:numId="12">
    <w:abstractNumId w:val="23"/>
  </w:num>
  <w:num w:numId="13">
    <w:abstractNumId w:val="2"/>
  </w:num>
  <w:num w:numId="14">
    <w:abstractNumId w:val="45"/>
  </w:num>
  <w:num w:numId="15">
    <w:abstractNumId w:val="33"/>
  </w:num>
  <w:num w:numId="16">
    <w:abstractNumId w:val="12"/>
  </w:num>
  <w:num w:numId="17">
    <w:abstractNumId w:val="62"/>
  </w:num>
  <w:num w:numId="18">
    <w:abstractNumId w:val="57"/>
  </w:num>
  <w:num w:numId="19">
    <w:abstractNumId w:val="20"/>
  </w:num>
  <w:num w:numId="20">
    <w:abstractNumId w:val="9"/>
  </w:num>
  <w:num w:numId="21">
    <w:abstractNumId w:val="10"/>
  </w:num>
  <w:num w:numId="22">
    <w:abstractNumId w:val="5"/>
  </w:num>
  <w:num w:numId="23">
    <w:abstractNumId w:val="43"/>
  </w:num>
  <w:num w:numId="24">
    <w:abstractNumId w:val="28"/>
  </w:num>
  <w:num w:numId="25">
    <w:abstractNumId w:val="59"/>
  </w:num>
  <w:num w:numId="26">
    <w:abstractNumId w:val="17"/>
  </w:num>
  <w:num w:numId="27">
    <w:abstractNumId w:val="19"/>
  </w:num>
  <w:num w:numId="28">
    <w:abstractNumId w:val="58"/>
  </w:num>
  <w:num w:numId="29">
    <w:abstractNumId w:val="31"/>
  </w:num>
  <w:num w:numId="30">
    <w:abstractNumId w:val="34"/>
  </w:num>
  <w:num w:numId="31">
    <w:abstractNumId w:val="18"/>
  </w:num>
  <w:num w:numId="32">
    <w:abstractNumId w:val="47"/>
  </w:num>
  <w:num w:numId="33">
    <w:abstractNumId w:val="26"/>
  </w:num>
  <w:num w:numId="34">
    <w:abstractNumId w:val="66"/>
  </w:num>
  <w:num w:numId="35">
    <w:abstractNumId w:val="63"/>
  </w:num>
  <w:num w:numId="36">
    <w:abstractNumId w:val="21"/>
  </w:num>
  <w:num w:numId="37">
    <w:abstractNumId w:val="11"/>
  </w:num>
  <w:num w:numId="38">
    <w:abstractNumId w:val="41"/>
    <w:lvlOverride w:ilvl="0">
      <w:startOverride w:val="1"/>
    </w:lvlOverride>
  </w:num>
  <w:num w:numId="39">
    <w:abstractNumId w:val="4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8"/>
  </w:num>
  <w:num w:numId="43">
    <w:abstractNumId w:val="0"/>
  </w:num>
  <w:num w:numId="44">
    <w:abstractNumId w:val="3"/>
  </w:num>
  <w:num w:numId="45">
    <w:abstractNumId w:val="49"/>
  </w:num>
  <w:num w:numId="46">
    <w:abstractNumId w:val="41"/>
  </w:num>
  <w:num w:numId="47">
    <w:abstractNumId w:val="3"/>
  </w:num>
  <w:num w:numId="48">
    <w:abstractNumId w:val="3"/>
  </w:num>
  <w:num w:numId="49">
    <w:abstractNumId w:val="3"/>
  </w:num>
  <w:num w:numId="50">
    <w:abstractNumId w:val="45"/>
    <w:lvlOverride w:ilvl="0">
      <w:startOverride w:val="1"/>
    </w:lvlOverride>
  </w:num>
  <w:num w:numId="51">
    <w:abstractNumId w:val="64"/>
  </w:num>
  <w:num w:numId="52">
    <w:abstractNumId w:val="2"/>
    <w:lvlOverride w:ilvl="0">
      <w:startOverride w:val="4"/>
    </w:lvlOverride>
  </w:num>
  <w:num w:numId="53">
    <w:abstractNumId w:val="15"/>
  </w:num>
  <w:num w:numId="54">
    <w:abstractNumId w:val="55"/>
  </w:num>
  <w:num w:numId="55">
    <w:abstractNumId w:val="61"/>
  </w:num>
  <w:num w:numId="56">
    <w:abstractNumId w:val="42"/>
  </w:num>
  <w:num w:numId="57">
    <w:abstractNumId w:val="35"/>
  </w:num>
  <w:num w:numId="58">
    <w:abstractNumId w:val="50"/>
  </w:num>
  <w:num w:numId="59">
    <w:abstractNumId w:val="1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13"/>
  </w:num>
  <w:num w:numId="63">
    <w:abstractNumId w:val="65"/>
  </w:num>
  <w:num w:numId="64">
    <w:abstractNumId w:val="36"/>
  </w:num>
  <w:num w:numId="65">
    <w:abstractNumId w:val="4"/>
  </w:num>
  <w:num w:numId="66">
    <w:abstractNumId w:val="6"/>
  </w:num>
  <w:num w:numId="67">
    <w:abstractNumId w:val="44"/>
  </w:num>
  <w:num w:numId="68">
    <w:abstractNumId w:val="53"/>
  </w:num>
  <w:num w:numId="69">
    <w:abstractNumId w:val="30"/>
  </w:num>
  <w:num w:numId="70">
    <w:abstractNumId w:val="60"/>
  </w:num>
  <w:num w:numId="71">
    <w:abstractNumId w:val="3"/>
  </w:num>
  <w:num w:numId="72">
    <w:abstractNumId w:val="27"/>
  </w:num>
  <w:num w:numId="73">
    <w:abstractNumId w:val="54"/>
  </w:num>
  <w:num w:numId="74">
    <w:abstractNumId w:val="22"/>
  </w:num>
  <w:num w:numId="75">
    <w:abstractNumId w:val="40"/>
  </w:num>
  <w:num w:numId="76">
    <w:abstractNumId w:val="51"/>
  </w:num>
  <w:num w:numId="77">
    <w:abstractNumId w:val="38"/>
  </w:num>
  <w:num w:numId="78">
    <w:abstractNumId w:val="37"/>
  </w:num>
  <w:num w:numId="79">
    <w:abstractNumId w:val="7"/>
  </w:num>
  <w:num w:numId="80">
    <w:abstractNumId w:val="29"/>
  </w:num>
  <w:num w:numId="81">
    <w:abstractNumId w:val="52"/>
  </w:num>
  <w:num w:numId="82">
    <w:abstractNumId w:val="3"/>
  </w:num>
  <w:num w:numId="83">
    <w:abstractNumId w:val="3"/>
  </w:num>
  <w:num w:numId="84">
    <w:abstractNumId w:val="3"/>
  </w:num>
  <w:num w:numId="85">
    <w:abstractNumId w:val="3"/>
  </w:num>
  <w:num w:numId="86">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NTQ1MzW2MLMwNjNV0lEKTi0uzszPAykwMqwFAJIM//ItAAAA"/>
  </w:docVars>
  <w:rsids>
    <w:rsidRoot w:val="00835321"/>
    <w:rsid w:val="00000432"/>
    <w:rsid w:val="00000A63"/>
    <w:rsid w:val="00000C59"/>
    <w:rsid w:val="000010A8"/>
    <w:rsid w:val="00001253"/>
    <w:rsid w:val="000017BB"/>
    <w:rsid w:val="000018BA"/>
    <w:rsid w:val="000020A8"/>
    <w:rsid w:val="00002633"/>
    <w:rsid w:val="0000263D"/>
    <w:rsid w:val="00002E62"/>
    <w:rsid w:val="00003B1B"/>
    <w:rsid w:val="00004E6F"/>
    <w:rsid w:val="00005275"/>
    <w:rsid w:val="00005734"/>
    <w:rsid w:val="000063D7"/>
    <w:rsid w:val="0001012F"/>
    <w:rsid w:val="00010667"/>
    <w:rsid w:val="0001077C"/>
    <w:rsid w:val="00011B67"/>
    <w:rsid w:val="00011E1E"/>
    <w:rsid w:val="00011FC0"/>
    <w:rsid w:val="0001205D"/>
    <w:rsid w:val="000127CC"/>
    <w:rsid w:val="000129D5"/>
    <w:rsid w:val="000130D4"/>
    <w:rsid w:val="00013233"/>
    <w:rsid w:val="0001563E"/>
    <w:rsid w:val="00015AE7"/>
    <w:rsid w:val="000163DF"/>
    <w:rsid w:val="00016561"/>
    <w:rsid w:val="00016A25"/>
    <w:rsid w:val="00016E21"/>
    <w:rsid w:val="0001719C"/>
    <w:rsid w:val="00017D3B"/>
    <w:rsid w:val="0002060C"/>
    <w:rsid w:val="00020CC6"/>
    <w:rsid w:val="0002172A"/>
    <w:rsid w:val="00021D6C"/>
    <w:rsid w:val="0002224D"/>
    <w:rsid w:val="0002224E"/>
    <w:rsid w:val="0002229B"/>
    <w:rsid w:val="000222DF"/>
    <w:rsid w:val="00023468"/>
    <w:rsid w:val="00023B7B"/>
    <w:rsid w:val="000242D7"/>
    <w:rsid w:val="0002443B"/>
    <w:rsid w:val="00024681"/>
    <w:rsid w:val="00024F5C"/>
    <w:rsid w:val="00025E4A"/>
    <w:rsid w:val="00025F2D"/>
    <w:rsid w:val="0002661A"/>
    <w:rsid w:val="00026F91"/>
    <w:rsid w:val="000270BE"/>
    <w:rsid w:val="00027F41"/>
    <w:rsid w:val="00031CC2"/>
    <w:rsid w:val="000320C9"/>
    <w:rsid w:val="00032946"/>
    <w:rsid w:val="00033EF9"/>
    <w:rsid w:val="000345D2"/>
    <w:rsid w:val="00034F62"/>
    <w:rsid w:val="000361CE"/>
    <w:rsid w:val="00036358"/>
    <w:rsid w:val="000366A5"/>
    <w:rsid w:val="00036E61"/>
    <w:rsid w:val="0003712D"/>
    <w:rsid w:val="00037CCC"/>
    <w:rsid w:val="00037D60"/>
    <w:rsid w:val="00040782"/>
    <w:rsid w:val="00040AD7"/>
    <w:rsid w:val="00040F5C"/>
    <w:rsid w:val="00040F6A"/>
    <w:rsid w:val="00042376"/>
    <w:rsid w:val="00043E19"/>
    <w:rsid w:val="00043F7E"/>
    <w:rsid w:val="0004462A"/>
    <w:rsid w:val="00044639"/>
    <w:rsid w:val="00045F5A"/>
    <w:rsid w:val="000469EF"/>
    <w:rsid w:val="00046F64"/>
    <w:rsid w:val="0004764C"/>
    <w:rsid w:val="00047667"/>
    <w:rsid w:val="000476A7"/>
    <w:rsid w:val="000478C7"/>
    <w:rsid w:val="0005011A"/>
    <w:rsid w:val="0005045A"/>
    <w:rsid w:val="00050DB6"/>
    <w:rsid w:val="00051BCF"/>
    <w:rsid w:val="00051C1E"/>
    <w:rsid w:val="00051EBE"/>
    <w:rsid w:val="000539F9"/>
    <w:rsid w:val="00053BAC"/>
    <w:rsid w:val="00053BAF"/>
    <w:rsid w:val="00054C27"/>
    <w:rsid w:val="00055D50"/>
    <w:rsid w:val="00055EC3"/>
    <w:rsid w:val="000563CE"/>
    <w:rsid w:val="00056B79"/>
    <w:rsid w:val="0005707A"/>
    <w:rsid w:val="0005707C"/>
    <w:rsid w:val="0005708D"/>
    <w:rsid w:val="00057C54"/>
    <w:rsid w:val="00057F49"/>
    <w:rsid w:val="00060686"/>
    <w:rsid w:val="000609CE"/>
    <w:rsid w:val="000610F4"/>
    <w:rsid w:val="0006198B"/>
    <w:rsid w:val="00061DEE"/>
    <w:rsid w:val="00062A94"/>
    <w:rsid w:val="000632B1"/>
    <w:rsid w:val="00063F57"/>
    <w:rsid w:val="000643CB"/>
    <w:rsid w:val="00064C61"/>
    <w:rsid w:val="000650F2"/>
    <w:rsid w:val="000659B6"/>
    <w:rsid w:val="00065DE2"/>
    <w:rsid w:val="000661FE"/>
    <w:rsid w:val="0006686F"/>
    <w:rsid w:val="00066AA0"/>
    <w:rsid w:val="00066DD0"/>
    <w:rsid w:val="0006722A"/>
    <w:rsid w:val="000673C8"/>
    <w:rsid w:val="00067AE6"/>
    <w:rsid w:val="00070ABF"/>
    <w:rsid w:val="000724A6"/>
    <w:rsid w:val="00072815"/>
    <w:rsid w:val="000729C4"/>
    <w:rsid w:val="00072C10"/>
    <w:rsid w:val="000732CF"/>
    <w:rsid w:val="00073827"/>
    <w:rsid w:val="00074165"/>
    <w:rsid w:val="00075B96"/>
    <w:rsid w:val="000769AB"/>
    <w:rsid w:val="00076A6C"/>
    <w:rsid w:val="000774DC"/>
    <w:rsid w:val="00077B95"/>
    <w:rsid w:val="00077EE8"/>
    <w:rsid w:val="0008031D"/>
    <w:rsid w:val="00080B2A"/>
    <w:rsid w:val="00080B90"/>
    <w:rsid w:val="00080DA2"/>
    <w:rsid w:val="000818BF"/>
    <w:rsid w:val="0008196A"/>
    <w:rsid w:val="00082247"/>
    <w:rsid w:val="00082B03"/>
    <w:rsid w:val="000834A6"/>
    <w:rsid w:val="000836B5"/>
    <w:rsid w:val="00084498"/>
    <w:rsid w:val="00085711"/>
    <w:rsid w:val="00085F83"/>
    <w:rsid w:val="00086611"/>
    <w:rsid w:val="00086D27"/>
    <w:rsid w:val="000901C6"/>
    <w:rsid w:val="000915ED"/>
    <w:rsid w:val="00091E8B"/>
    <w:rsid w:val="0009209D"/>
    <w:rsid w:val="0009247A"/>
    <w:rsid w:val="0009281A"/>
    <w:rsid w:val="00092D6A"/>
    <w:rsid w:val="000934C7"/>
    <w:rsid w:val="000936D7"/>
    <w:rsid w:val="00093E88"/>
    <w:rsid w:val="000942DA"/>
    <w:rsid w:val="000946DD"/>
    <w:rsid w:val="0009498C"/>
    <w:rsid w:val="0009633A"/>
    <w:rsid w:val="000963FF"/>
    <w:rsid w:val="000969BD"/>
    <w:rsid w:val="000969BF"/>
    <w:rsid w:val="000973CA"/>
    <w:rsid w:val="00097539"/>
    <w:rsid w:val="000977F0"/>
    <w:rsid w:val="000A0BEB"/>
    <w:rsid w:val="000A0C22"/>
    <w:rsid w:val="000A1113"/>
    <w:rsid w:val="000A1400"/>
    <w:rsid w:val="000A27F5"/>
    <w:rsid w:val="000A2BE0"/>
    <w:rsid w:val="000A34CE"/>
    <w:rsid w:val="000A38F5"/>
    <w:rsid w:val="000A3C43"/>
    <w:rsid w:val="000A4A51"/>
    <w:rsid w:val="000A4B84"/>
    <w:rsid w:val="000A4F28"/>
    <w:rsid w:val="000A52BA"/>
    <w:rsid w:val="000A5336"/>
    <w:rsid w:val="000A5A3C"/>
    <w:rsid w:val="000A5B13"/>
    <w:rsid w:val="000A5B2C"/>
    <w:rsid w:val="000A5D2B"/>
    <w:rsid w:val="000A66DA"/>
    <w:rsid w:val="000B09DA"/>
    <w:rsid w:val="000B0F65"/>
    <w:rsid w:val="000B121E"/>
    <w:rsid w:val="000B195C"/>
    <w:rsid w:val="000B286C"/>
    <w:rsid w:val="000B2E24"/>
    <w:rsid w:val="000B35E5"/>
    <w:rsid w:val="000B35F0"/>
    <w:rsid w:val="000B392C"/>
    <w:rsid w:val="000B3A6E"/>
    <w:rsid w:val="000B4A3B"/>
    <w:rsid w:val="000B53C9"/>
    <w:rsid w:val="000B56A7"/>
    <w:rsid w:val="000B5DE3"/>
    <w:rsid w:val="000B6534"/>
    <w:rsid w:val="000B6880"/>
    <w:rsid w:val="000B7554"/>
    <w:rsid w:val="000B7B73"/>
    <w:rsid w:val="000C080F"/>
    <w:rsid w:val="000C0A57"/>
    <w:rsid w:val="000C0BD4"/>
    <w:rsid w:val="000C0CA1"/>
    <w:rsid w:val="000C0D3C"/>
    <w:rsid w:val="000C1A29"/>
    <w:rsid w:val="000C230C"/>
    <w:rsid w:val="000C23F6"/>
    <w:rsid w:val="000C24A6"/>
    <w:rsid w:val="000C2F4B"/>
    <w:rsid w:val="000C3113"/>
    <w:rsid w:val="000C353A"/>
    <w:rsid w:val="000C3771"/>
    <w:rsid w:val="000C4B19"/>
    <w:rsid w:val="000C4D88"/>
    <w:rsid w:val="000C4ED6"/>
    <w:rsid w:val="000C5674"/>
    <w:rsid w:val="000C56AF"/>
    <w:rsid w:val="000C5D75"/>
    <w:rsid w:val="000C600D"/>
    <w:rsid w:val="000C6AB4"/>
    <w:rsid w:val="000C6CCF"/>
    <w:rsid w:val="000C6CE5"/>
    <w:rsid w:val="000C6DAD"/>
    <w:rsid w:val="000C70F6"/>
    <w:rsid w:val="000C7185"/>
    <w:rsid w:val="000C76E0"/>
    <w:rsid w:val="000D00D0"/>
    <w:rsid w:val="000D016D"/>
    <w:rsid w:val="000D0B29"/>
    <w:rsid w:val="000D27B0"/>
    <w:rsid w:val="000D3200"/>
    <w:rsid w:val="000D38C1"/>
    <w:rsid w:val="000D4773"/>
    <w:rsid w:val="000D4A26"/>
    <w:rsid w:val="000D4EE2"/>
    <w:rsid w:val="000D4F5C"/>
    <w:rsid w:val="000D6B90"/>
    <w:rsid w:val="000D71D9"/>
    <w:rsid w:val="000D7266"/>
    <w:rsid w:val="000D76E0"/>
    <w:rsid w:val="000D7E8B"/>
    <w:rsid w:val="000D7F96"/>
    <w:rsid w:val="000E123C"/>
    <w:rsid w:val="000E14B3"/>
    <w:rsid w:val="000E2009"/>
    <w:rsid w:val="000E2019"/>
    <w:rsid w:val="000E3CCA"/>
    <w:rsid w:val="000E4449"/>
    <w:rsid w:val="000E5141"/>
    <w:rsid w:val="000E522F"/>
    <w:rsid w:val="000E53B8"/>
    <w:rsid w:val="000E55BB"/>
    <w:rsid w:val="000E575E"/>
    <w:rsid w:val="000E57E5"/>
    <w:rsid w:val="000E5C5B"/>
    <w:rsid w:val="000E6097"/>
    <w:rsid w:val="000E6CF1"/>
    <w:rsid w:val="000E7525"/>
    <w:rsid w:val="000E7BB8"/>
    <w:rsid w:val="000F0837"/>
    <w:rsid w:val="000F0A4C"/>
    <w:rsid w:val="000F12F1"/>
    <w:rsid w:val="000F15C3"/>
    <w:rsid w:val="000F1900"/>
    <w:rsid w:val="000F25D8"/>
    <w:rsid w:val="000F38B6"/>
    <w:rsid w:val="000F39D4"/>
    <w:rsid w:val="000F41F5"/>
    <w:rsid w:val="000F48E2"/>
    <w:rsid w:val="000F4B2A"/>
    <w:rsid w:val="000F4B2C"/>
    <w:rsid w:val="000F4F50"/>
    <w:rsid w:val="000F51E4"/>
    <w:rsid w:val="000F52C2"/>
    <w:rsid w:val="000F54A6"/>
    <w:rsid w:val="000F5B9F"/>
    <w:rsid w:val="000F6611"/>
    <w:rsid w:val="000F6E21"/>
    <w:rsid w:val="000F7DE0"/>
    <w:rsid w:val="00101103"/>
    <w:rsid w:val="001011D4"/>
    <w:rsid w:val="0010123C"/>
    <w:rsid w:val="0010179A"/>
    <w:rsid w:val="001017C7"/>
    <w:rsid w:val="001019D0"/>
    <w:rsid w:val="00101C69"/>
    <w:rsid w:val="00102B3D"/>
    <w:rsid w:val="00103829"/>
    <w:rsid w:val="0010610D"/>
    <w:rsid w:val="00107190"/>
    <w:rsid w:val="0010768C"/>
    <w:rsid w:val="0010781B"/>
    <w:rsid w:val="00107C5A"/>
    <w:rsid w:val="00107CDC"/>
    <w:rsid w:val="00110097"/>
    <w:rsid w:val="00110428"/>
    <w:rsid w:val="0011071A"/>
    <w:rsid w:val="00111052"/>
    <w:rsid w:val="001110F9"/>
    <w:rsid w:val="00111428"/>
    <w:rsid w:val="001116B1"/>
    <w:rsid w:val="00111C5E"/>
    <w:rsid w:val="00111FCE"/>
    <w:rsid w:val="00112234"/>
    <w:rsid w:val="00112875"/>
    <w:rsid w:val="00112AED"/>
    <w:rsid w:val="00113435"/>
    <w:rsid w:val="00114864"/>
    <w:rsid w:val="00114905"/>
    <w:rsid w:val="00114CE4"/>
    <w:rsid w:val="00114D15"/>
    <w:rsid w:val="00115A68"/>
    <w:rsid w:val="00115B07"/>
    <w:rsid w:val="00115B0E"/>
    <w:rsid w:val="00115D43"/>
    <w:rsid w:val="001161D8"/>
    <w:rsid w:val="001164EA"/>
    <w:rsid w:val="0011666A"/>
    <w:rsid w:val="001178EE"/>
    <w:rsid w:val="00117D3F"/>
    <w:rsid w:val="0012165E"/>
    <w:rsid w:val="00121983"/>
    <w:rsid w:val="00121A03"/>
    <w:rsid w:val="00121F70"/>
    <w:rsid w:val="00122240"/>
    <w:rsid w:val="001229A5"/>
    <w:rsid w:val="001231D3"/>
    <w:rsid w:val="0012357B"/>
    <w:rsid w:val="0012381C"/>
    <w:rsid w:val="00123A51"/>
    <w:rsid w:val="00123BA8"/>
    <w:rsid w:val="00123BF1"/>
    <w:rsid w:val="00123C05"/>
    <w:rsid w:val="00124080"/>
    <w:rsid w:val="0012489B"/>
    <w:rsid w:val="0012548D"/>
    <w:rsid w:val="00125FC9"/>
    <w:rsid w:val="001278FC"/>
    <w:rsid w:val="00127B59"/>
    <w:rsid w:val="00130017"/>
    <w:rsid w:val="001308D1"/>
    <w:rsid w:val="00130AFC"/>
    <w:rsid w:val="00130F91"/>
    <w:rsid w:val="00131002"/>
    <w:rsid w:val="0013101D"/>
    <w:rsid w:val="00131041"/>
    <w:rsid w:val="0013210C"/>
    <w:rsid w:val="00132BC6"/>
    <w:rsid w:val="00133FB3"/>
    <w:rsid w:val="0013440A"/>
    <w:rsid w:val="001349ED"/>
    <w:rsid w:val="00134FFB"/>
    <w:rsid w:val="001352AC"/>
    <w:rsid w:val="00135353"/>
    <w:rsid w:val="001357EF"/>
    <w:rsid w:val="0013592F"/>
    <w:rsid w:val="00135D39"/>
    <w:rsid w:val="0013606C"/>
    <w:rsid w:val="00137279"/>
    <w:rsid w:val="00137424"/>
    <w:rsid w:val="001376E5"/>
    <w:rsid w:val="00140318"/>
    <w:rsid w:val="00141AD9"/>
    <w:rsid w:val="001426F8"/>
    <w:rsid w:val="00142A89"/>
    <w:rsid w:val="00143993"/>
    <w:rsid w:val="00144072"/>
    <w:rsid w:val="00144235"/>
    <w:rsid w:val="001443A5"/>
    <w:rsid w:val="00144811"/>
    <w:rsid w:val="00144B13"/>
    <w:rsid w:val="00145942"/>
    <w:rsid w:val="0014662D"/>
    <w:rsid w:val="00146B1A"/>
    <w:rsid w:val="00146CE6"/>
    <w:rsid w:val="0014735E"/>
    <w:rsid w:val="00147B0D"/>
    <w:rsid w:val="001501F4"/>
    <w:rsid w:val="00150E32"/>
    <w:rsid w:val="001511DE"/>
    <w:rsid w:val="00151DC8"/>
    <w:rsid w:val="00151E99"/>
    <w:rsid w:val="001525AB"/>
    <w:rsid w:val="00152903"/>
    <w:rsid w:val="001537F1"/>
    <w:rsid w:val="00153945"/>
    <w:rsid w:val="00153E80"/>
    <w:rsid w:val="00153FD5"/>
    <w:rsid w:val="001540D8"/>
    <w:rsid w:val="001543E4"/>
    <w:rsid w:val="00154804"/>
    <w:rsid w:val="00154EB9"/>
    <w:rsid w:val="001556CE"/>
    <w:rsid w:val="00155FA4"/>
    <w:rsid w:val="0015614F"/>
    <w:rsid w:val="001567F7"/>
    <w:rsid w:val="00156A44"/>
    <w:rsid w:val="00156F2F"/>
    <w:rsid w:val="0015716C"/>
    <w:rsid w:val="001573B8"/>
    <w:rsid w:val="001577C2"/>
    <w:rsid w:val="001605F3"/>
    <w:rsid w:val="001608C5"/>
    <w:rsid w:val="00161584"/>
    <w:rsid w:val="001616BA"/>
    <w:rsid w:val="00162093"/>
    <w:rsid w:val="001623B2"/>
    <w:rsid w:val="001633C4"/>
    <w:rsid w:val="0016342C"/>
    <w:rsid w:val="001636C7"/>
    <w:rsid w:val="00164C38"/>
    <w:rsid w:val="001664C4"/>
    <w:rsid w:val="00166575"/>
    <w:rsid w:val="00166FA5"/>
    <w:rsid w:val="00171473"/>
    <w:rsid w:val="00171591"/>
    <w:rsid w:val="001724E2"/>
    <w:rsid w:val="00172B54"/>
    <w:rsid w:val="00172EB0"/>
    <w:rsid w:val="00173981"/>
    <w:rsid w:val="00173F24"/>
    <w:rsid w:val="00176C26"/>
    <w:rsid w:val="00176E22"/>
    <w:rsid w:val="0017719D"/>
    <w:rsid w:val="00177FC0"/>
    <w:rsid w:val="001801F4"/>
    <w:rsid w:val="0018044B"/>
    <w:rsid w:val="001809E0"/>
    <w:rsid w:val="00181690"/>
    <w:rsid w:val="001818EC"/>
    <w:rsid w:val="0018271D"/>
    <w:rsid w:val="0018396F"/>
    <w:rsid w:val="00183E47"/>
    <w:rsid w:val="00183EDF"/>
    <w:rsid w:val="00183FD7"/>
    <w:rsid w:val="00185CAB"/>
    <w:rsid w:val="00185D43"/>
    <w:rsid w:val="00186911"/>
    <w:rsid w:val="00186F06"/>
    <w:rsid w:val="001875B7"/>
    <w:rsid w:val="001878E8"/>
    <w:rsid w:val="00187AA5"/>
    <w:rsid w:val="00187CB3"/>
    <w:rsid w:val="00190041"/>
    <w:rsid w:val="00190408"/>
    <w:rsid w:val="0019050A"/>
    <w:rsid w:val="00190C3F"/>
    <w:rsid w:val="001910D4"/>
    <w:rsid w:val="00191164"/>
    <w:rsid w:val="00192392"/>
    <w:rsid w:val="0019258A"/>
    <w:rsid w:val="001936FE"/>
    <w:rsid w:val="00193CCF"/>
    <w:rsid w:val="0019432F"/>
    <w:rsid w:val="0019484B"/>
    <w:rsid w:val="001949D3"/>
    <w:rsid w:val="00195C0E"/>
    <w:rsid w:val="00196553"/>
    <w:rsid w:val="001971EA"/>
    <w:rsid w:val="00197216"/>
    <w:rsid w:val="001976E3"/>
    <w:rsid w:val="001A0068"/>
    <w:rsid w:val="001A05F1"/>
    <w:rsid w:val="001A2904"/>
    <w:rsid w:val="001A42E7"/>
    <w:rsid w:val="001A44EC"/>
    <w:rsid w:val="001A469C"/>
    <w:rsid w:val="001A47A1"/>
    <w:rsid w:val="001A47A9"/>
    <w:rsid w:val="001A4D89"/>
    <w:rsid w:val="001A5088"/>
    <w:rsid w:val="001A5B1D"/>
    <w:rsid w:val="001A6A34"/>
    <w:rsid w:val="001A6E38"/>
    <w:rsid w:val="001A75B2"/>
    <w:rsid w:val="001A76DB"/>
    <w:rsid w:val="001A7901"/>
    <w:rsid w:val="001A7D52"/>
    <w:rsid w:val="001B0F77"/>
    <w:rsid w:val="001B1A0B"/>
    <w:rsid w:val="001B1B7A"/>
    <w:rsid w:val="001B378A"/>
    <w:rsid w:val="001B3FA1"/>
    <w:rsid w:val="001B3FE4"/>
    <w:rsid w:val="001B420E"/>
    <w:rsid w:val="001B4CF7"/>
    <w:rsid w:val="001B501C"/>
    <w:rsid w:val="001B50D7"/>
    <w:rsid w:val="001B58AA"/>
    <w:rsid w:val="001B5B22"/>
    <w:rsid w:val="001B64BF"/>
    <w:rsid w:val="001B696E"/>
    <w:rsid w:val="001B7611"/>
    <w:rsid w:val="001B76CC"/>
    <w:rsid w:val="001B7E48"/>
    <w:rsid w:val="001C0300"/>
    <w:rsid w:val="001C0CBB"/>
    <w:rsid w:val="001C0D0E"/>
    <w:rsid w:val="001C0E03"/>
    <w:rsid w:val="001C0F1C"/>
    <w:rsid w:val="001C17CE"/>
    <w:rsid w:val="001C2180"/>
    <w:rsid w:val="001C23FF"/>
    <w:rsid w:val="001C36CA"/>
    <w:rsid w:val="001C37A8"/>
    <w:rsid w:val="001C4163"/>
    <w:rsid w:val="001C4306"/>
    <w:rsid w:val="001C44D1"/>
    <w:rsid w:val="001C4B76"/>
    <w:rsid w:val="001C4C83"/>
    <w:rsid w:val="001C4FFD"/>
    <w:rsid w:val="001C517F"/>
    <w:rsid w:val="001C5E46"/>
    <w:rsid w:val="001C6582"/>
    <w:rsid w:val="001C6AEE"/>
    <w:rsid w:val="001C7630"/>
    <w:rsid w:val="001C777D"/>
    <w:rsid w:val="001C7D99"/>
    <w:rsid w:val="001D02A7"/>
    <w:rsid w:val="001D09EB"/>
    <w:rsid w:val="001D1F26"/>
    <w:rsid w:val="001D2969"/>
    <w:rsid w:val="001D2B02"/>
    <w:rsid w:val="001D2BC9"/>
    <w:rsid w:val="001D3119"/>
    <w:rsid w:val="001D3FAD"/>
    <w:rsid w:val="001D4358"/>
    <w:rsid w:val="001D53BE"/>
    <w:rsid w:val="001D5AFF"/>
    <w:rsid w:val="001D5FA8"/>
    <w:rsid w:val="001D61B4"/>
    <w:rsid w:val="001D61D7"/>
    <w:rsid w:val="001D6D15"/>
    <w:rsid w:val="001D6F6E"/>
    <w:rsid w:val="001D76E6"/>
    <w:rsid w:val="001E1B65"/>
    <w:rsid w:val="001E2468"/>
    <w:rsid w:val="001E2C33"/>
    <w:rsid w:val="001E333A"/>
    <w:rsid w:val="001E3372"/>
    <w:rsid w:val="001E3956"/>
    <w:rsid w:val="001E3A8F"/>
    <w:rsid w:val="001E3A98"/>
    <w:rsid w:val="001E41D5"/>
    <w:rsid w:val="001E4C2C"/>
    <w:rsid w:val="001E5274"/>
    <w:rsid w:val="001E530C"/>
    <w:rsid w:val="001E5AB1"/>
    <w:rsid w:val="001E6AF5"/>
    <w:rsid w:val="001E6D41"/>
    <w:rsid w:val="001E7166"/>
    <w:rsid w:val="001F181A"/>
    <w:rsid w:val="001F2399"/>
    <w:rsid w:val="001F2792"/>
    <w:rsid w:val="001F2D19"/>
    <w:rsid w:val="001F307F"/>
    <w:rsid w:val="001F3495"/>
    <w:rsid w:val="001F4382"/>
    <w:rsid w:val="001F4473"/>
    <w:rsid w:val="001F4791"/>
    <w:rsid w:val="001F51FF"/>
    <w:rsid w:val="001F55C9"/>
    <w:rsid w:val="001F5E1C"/>
    <w:rsid w:val="001F63F9"/>
    <w:rsid w:val="001F7558"/>
    <w:rsid w:val="001F7577"/>
    <w:rsid w:val="001F75A5"/>
    <w:rsid w:val="0020014B"/>
    <w:rsid w:val="002001E9"/>
    <w:rsid w:val="00200924"/>
    <w:rsid w:val="00200AE7"/>
    <w:rsid w:val="002013BD"/>
    <w:rsid w:val="00201AF1"/>
    <w:rsid w:val="00201DB8"/>
    <w:rsid w:val="00201DE5"/>
    <w:rsid w:val="00201FB7"/>
    <w:rsid w:val="002026BE"/>
    <w:rsid w:val="002026C0"/>
    <w:rsid w:val="00202F16"/>
    <w:rsid w:val="002038D0"/>
    <w:rsid w:val="00203F63"/>
    <w:rsid w:val="0020408F"/>
    <w:rsid w:val="0020445B"/>
    <w:rsid w:val="0020488C"/>
    <w:rsid w:val="00205B57"/>
    <w:rsid w:val="00205F9D"/>
    <w:rsid w:val="00206EC6"/>
    <w:rsid w:val="00207199"/>
    <w:rsid w:val="0020740B"/>
    <w:rsid w:val="0020762C"/>
    <w:rsid w:val="00207B11"/>
    <w:rsid w:val="002104A1"/>
    <w:rsid w:val="00210857"/>
    <w:rsid w:val="00211031"/>
    <w:rsid w:val="00212DF8"/>
    <w:rsid w:val="002133A1"/>
    <w:rsid w:val="00213C1A"/>
    <w:rsid w:val="00214171"/>
    <w:rsid w:val="00214A2B"/>
    <w:rsid w:val="00214E77"/>
    <w:rsid w:val="00215006"/>
    <w:rsid w:val="002152E1"/>
    <w:rsid w:val="002157E0"/>
    <w:rsid w:val="002160B3"/>
    <w:rsid w:val="00216A57"/>
    <w:rsid w:val="00217C7C"/>
    <w:rsid w:val="0022070E"/>
    <w:rsid w:val="00220C13"/>
    <w:rsid w:val="002225DD"/>
    <w:rsid w:val="0022278D"/>
    <w:rsid w:val="0022334F"/>
    <w:rsid w:val="0022429D"/>
    <w:rsid w:val="00225351"/>
    <w:rsid w:val="0022547B"/>
    <w:rsid w:val="002254DB"/>
    <w:rsid w:val="0022550C"/>
    <w:rsid w:val="002256FC"/>
    <w:rsid w:val="00225A35"/>
    <w:rsid w:val="00225AFF"/>
    <w:rsid w:val="00225B46"/>
    <w:rsid w:val="00225E2F"/>
    <w:rsid w:val="00226819"/>
    <w:rsid w:val="00226BDF"/>
    <w:rsid w:val="00231075"/>
    <w:rsid w:val="00231397"/>
    <w:rsid w:val="00231649"/>
    <w:rsid w:val="00231D4A"/>
    <w:rsid w:val="0023233B"/>
    <w:rsid w:val="00233101"/>
    <w:rsid w:val="00233817"/>
    <w:rsid w:val="00233921"/>
    <w:rsid w:val="00233C52"/>
    <w:rsid w:val="00233E05"/>
    <w:rsid w:val="002340E3"/>
    <w:rsid w:val="00234509"/>
    <w:rsid w:val="0023477F"/>
    <w:rsid w:val="00234C5A"/>
    <w:rsid w:val="00235261"/>
    <w:rsid w:val="00236678"/>
    <w:rsid w:val="002367D4"/>
    <w:rsid w:val="002367FF"/>
    <w:rsid w:val="002370F2"/>
    <w:rsid w:val="00237373"/>
    <w:rsid w:val="0024022B"/>
    <w:rsid w:val="00240CB1"/>
    <w:rsid w:val="00240CE9"/>
    <w:rsid w:val="00242CFC"/>
    <w:rsid w:val="00242E62"/>
    <w:rsid w:val="0024313C"/>
    <w:rsid w:val="00243330"/>
    <w:rsid w:val="002434BA"/>
    <w:rsid w:val="00243966"/>
    <w:rsid w:val="0024450C"/>
    <w:rsid w:val="00244F54"/>
    <w:rsid w:val="00245069"/>
    <w:rsid w:val="0024527A"/>
    <w:rsid w:val="0024592D"/>
    <w:rsid w:val="00246089"/>
    <w:rsid w:val="00246093"/>
    <w:rsid w:val="002460B3"/>
    <w:rsid w:val="00246702"/>
    <w:rsid w:val="00246C58"/>
    <w:rsid w:val="00246FEC"/>
    <w:rsid w:val="002474DE"/>
    <w:rsid w:val="002474DF"/>
    <w:rsid w:val="002474F6"/>
    <w:rsid w:val="00247C59"/>
    <w:rsid w:val="00247F2E"/>
    <w:rsid w:val="00247FE4"/>
    <w:rsid w:val="0025006A"/>
    <w:rsid w:val="00250766"/>
    <w:rsid w:val="0025081F"/>
    <w:rsid w:val="00250ADC"/>
    <w:rsid w:val="00250B07"/>
    <w:rsid w:val="002512ED"/>
    <w:rsid w:val="002516E5"/>
    <w:rsid w:val="00251C73"/>
    <w:rsid w:val="00252285"/>
    <w:rsid w:val="00252ACF"/>
    <w:rsid w:val="00253744"/>
    <w:rsid w:val="002552D6"/>
    <w:rsid w:val="002561FB"/>
    <w:rsid w:val="00257553"/>
    <w:rsid w:val="00257D00"/>
    <w:rsid w:val="0026070D"/>
    <w:rsid w:val="00260B3F"/>
    <w:rsid w:val="00260C3E"/>
    <w:rsid w:val="00260FB2"/>
    <w:rsid w:val="00262128"/>
    <w:rsid w:val="00263623"/>
    <w:rsid w:val="0026368B"/>
    <w:rsid w:val="00263ADD"/>
    <w:rsid w:val="00264E46"/>
    <w:rsid w:val="002657D9"/>
    <w:rsid w:val="00265AC6"/>
    <w:rsid w:val="00265FDD"/>
    <w:rsid w:val="00266297"/>
    <w:rsid w:val="002664B9"/>
    <w:rsid w:val="00266584"/>
    <w:rsid w:val="002667D4"/>
    <w:rsid w:val="00267652"/>
    <w:rsid w:val="0027091F"/>
    <w:rsid w:val="00271262"/>
    <w:rsid w:val="0027128C"/>
    <w:rsid w:val="002714B8"/>
    <w:rsid w:val="0027165D"/>
    <w:rsid w:val="002717D0"/>
    <w:rsid w:val="002732D6"/>
    <w:rsid w:val="002733C0"/>
    <w:rsid w:val="00273CEB"/>
    <w:rsid w:val="00273DB5"/>
    <w:rsid w:val="002740ED"/>
    <w:rsid w:val="00275EDA"/>
    <w:rsid w:val="00276546"/>
    <w:rsid w:val="002766EE"/>
    <w:rsid w:val="00276B85"/>
    <w:rsid w:val="002776F4"/>
    <w:rsid w:val="002803A9"/>
    <w:rsid w:val="00280702"/>
    <w:rsid w:val="002813BF"/>
    <w:rsid w:val="002819C9"/>
    <w:rsid w:val="00281C89"/>
    <w:rsid w:val="00282488"/>
    <w:rsid w:val="0028282F"/>
    <w:rsid w:val="00282A60"/>
    <w:rsid w:val="002838AB"/>
    <w:rsid w:val="00283C63"/>
    <w:rsid w:val="00283D92"/>
    <w:rsid w:val="0028468E"/>
    <w:rsid w:val="00284BC8"/>
    <w:rsid w:val="00284DD7"/>
    <w:rsid w:val="002856E7"/>
    <w:rsid w:val="00285C5D"/>
    <w:rsid w:val="00286401"/>
    <w:rsid w:val="00286D6B"/>
    <w:rsid w:val="00287253"/>
    <w:rsid w:val="00287537"/>
    <w:rsid w:val="00290182"/>
    <w:rsid w:val="00290235"/>
    <w:rsid w:val="00290D71"/>
    <w:rsid w:val="00290E92"/>
    <w:rsid w:val="00291371"/>
    <w:rsid w:val="00291714"/>
    <w:rsid w:val="002926FF"/>
    <w:rsid w:val="00292BAD"/>
    <w:rsid w:val="00293B01"/>
    <w:rsid w:val="00293D5E"/>
    <w:rsid w:val="00294266"/>
    <w:rsid w:val="00294B52"/>
    <w:rsid w:val="00294C5C"/>
    <w:rsid w:val="0029522E"/>
    <w:rsid w:val="002957B9"/>
    <w:rsid w:val="0029593B"/>
    <w:rsid w:val="00295A18"/>
    <w:rsid w:val="00295E74"/>
    <w:rsid w:val="00296065"/>
    <w:rsid w:val="00297736"/>
    <w:rsid w:val="00297FC5"/>
    <w:rsid w:val="002A029F"/>
    <w:rsid w:val="002A0417"/>
    <w:rsid w:val="002A06CC"/>
    <w:rsid w:val="002A0B90"/>
    <w:rsid w:val="002A16D8"/>
    <w:rsid w:val="002A170C"/>
    <w:rsid w:val="002A1BB6"/>
    <w:rsid w:val="002A1BC8"/>
    <w:rsid w:val="002A2055"/>
    <w:rsid w:val="002A2220"/>
    <w:rsid w:val="002A3139"/>
    <w:rsid w:val="002A31E7"/>
    <w:rsid w:val="002A3EF2"/>
    <w:rsid w:val="002A4101"/>
    <w:rsid w:val="002A4542"/>
    <w:rsid w:val="002A5E66"/>
    <w:rsid w:val="002A612D"/>
    <w:rsid w:val="002A70FF"/>
    <w:rsid w:val="002A7BDB"/>
    <w:rsid w:val="002B0541"/>
    <w:rsid w:val="002B0DED"/>
    <w:rsid w:val="002B1116"/>
    <w:rsid w:val="002B131A"/>
    <w:rsid w:val="002B19A2"/>
    <w:rsid w:val="002B2257"/>
    <w:rsid w:val="002B2F2E"/>
    <w:rsid w:val="002B381A"/>
    <w:rsid w:val="002B3D33"/>
    <w:rsid w:val="002B3F96"/>
    <w:rsid w:val="002B40C1"/>
    <w:rsid w:val="002B44DC"/>
    <w:rsid w:val="002B4826"/>
    <w:rsid w:val="002B494D"/>
    <w:rsid w:val="002B4A0A"/>
    <w:rsid w:val="002B4FCC"/>
    <w:rsid w:val="002B6A59"/>
    <w:rsid w:val="002B70FA"/>
    <w:rsid w:val="002B7290"/>
    <w:rsid w:val="002B7408"/>
    <w:rsid w:val="002B7588"/>
    <w:rsid w:val="002B7CFD"/>
    <w:rsid w:val="002B7DE5"/>
    <w:rsid w:val="002B7F07"/>
    <w:rsid w:val="002C015E"/>
    <w:rsid w:val="002C0328"/>
    <w:rsid w:val="002C0657"/>
    <w:rsid w:val="002C1C12"/>
    <w:rsid w:val="002C210F"/>
    <w:rsid w:val="002C22BB"/>
    <w:rsid w:val="002C32FA"/>
    <w:rsid w:val="002C3994"/>
    <w:rsid w:val="002C3EA9"/>
    <w:rsid w:val="002C40B9"/>
    <w:rsid w:val="002C44EF"/>
    <w:rsid w:val="002C4ED3"/>
    <w:rsid w:val="002C53EE"/>
    <w:rsid w:val="002C61DA"/>
    <w:rsid w:val="002C689F"/>
    <w:rsid w:val="002C6A30"/>
    <w:rsid w:val="002C6A94"/>
    <w:rsid w:val="002C6CB2"/>
    <w:rsid w:val="002C7355"/>
    <w:rsid w:val="002C7D06"/>
    <w:rsid w:val="002D05FC"/>
    <w:rsid w:val="002D0853"/>
    <w:rsid w:val="002D19DF"/>
    <w:rsid w:val="002D1D48"/>
    <w:rsid w:val="002D2017"/>
    <w:rsid w:val="002D3600"/>
    <w:rsid w:val="002D3ADB"/>
    <w:rsid w:val="002D4532"/>
    <w:rsid w:val="002D4C7D"/>
    <w:rsid w:val="002D51A6"/>
    <w:rsid w:val="002D570C"/>
    <w:rsid w:val="002D574A"/>
    <w:rsid w:val="002D5995"/>
    <w:rsid w:val="002D5F09"/>
    <w:rsid w:val="002D62C3"/>
    <w:rsid w:val="002D631C"/>
    <w:rsid w:val="002D64A5"/>
    <w:rsid w:val="002D69D6"/>
    <w:rsid w:val="002D6A60"/>
    <w:rsid w:val="002E0DAD"/>
    <w:rsid w:val="002E1796"/>
    <w:rsid w:val="002E1886"/>
    <w:rsid w:val="002E1C52"/>
    <w:rsid w:val="002E1E92"/>
    <w:rsid w:val="002E1FCB"/>
    <w:rsid w:val="002E2200"/>
    <w:rsid w:val="002E32BA"/>
    <w:rsid w:val="002E3A88"/>
    <w:rsid w:val="002E3B22"/>
    <w:rsid w:val="002E4AEA"/>
    <w:rsid w:val="002E4DDC"/>
    <w:rsid w:val="002E57FA"/>
    <w:rsid w:val="002E7447"/>
    <w:rsid w:val="002E757B"/>
    <w:rsid w:val="002F0B06"/>
    <w:rsid w:val="002F0BB4"/>
    <w:rsid w:val="002F10B6"/>
    <w:rsid w:val="002F4D94"/>
    <w:rsid w:val="002F5087"/>
    <w:rsid w:val="002F643C"/>
    <w:rsid w:val="002F7C02"/>
    <w:rsid w:val="003003EF"/>
    <w:rsid w:val="003005AD"/>
    <w:rsid w:val="003006F0"/>
    <w:rsid w:val="0030075C"/>
    <w:rsid w:val="00302480"/>
    <w:rsid w:val="00302EE2"/>
    <w:rsid w:val="003038DD"/>
    <w:rsid w:val="003039C5"/>
    <w:rsid w:val="00304A26"/>
    <w:rsid w:val="0030614C"/>
    <w:rsid w:val="0030745A"/>
    <w:rsid w:val="00307607"/>
    <w:rsid w:val="00310564"/>
    <w:rsid w:val="00310B0C"/>
    <w:rsid w:val="00310BF1"/>
    <w:rsid w:val="00310D99"/>
    <w:rsid w:val="00311C13"/>
    <w:rsid w:val="00312848"/>
    <w:rsid w:val="00312AD8"/>
    <w:rsid w:val="00314997"/>
    <w:rsid w:val="0031549A"/>
    <w:rsid w:val="003155C7"/>
    <w:rsid w:val="00315B33"/>
    <w:rsid w:val="00315B96"/>
    <w:rsid w:val="003165E6"/>
    <w:rsid w:val="0031727F"/>
    <w:rsid w:val="00317D67"/>
    <w:rsid w:val="003215B5"/>
    <w:rsid w:val="003218BF"/>
    <w:rsid w:val="003221CF"/>
    <w:rsid w:val="003233ED"/>
    <w:rsid w:val="003234BC"/>
    <w:rsid w:val="003242CC"/>
    <w:rsid w:val="00324848"/>
    <w:rsid w:val="003249A9"/>
    <w:rsid w:val="00324D9F"/>
    <w:rsid w:val="00325068"/>
    <w:rsid w:val="00325B09"/>
    <w:rsid w:val="00327948"/>
    <w:rsid w:val="00327EA2"/>
    <w:rsid w:val="00327F18"/>
    <w:rsid w:val="0033000F"/>
    <w:rsid w:val="00330303"/>
    <w:rsid w:val="003304B3"/>
    <w:rsid w:val="00331544"/>
    <w:rsid w:val="00331AE9"/>
    <w:rsid w:val="00331FCF"/>
    <w:rsid w:val="00332011"/>
    <w:rsid w:val="00332518"/>
    <w:rsid w:val="00332925"/>
    <w:rsid w:val="003332ED"/>
    <w:rsid w:val="003333A7"/>
    <w:rsid w:val="003348B9"/>
    <w:rsid w:val="00335E58"/>
    <w:rsid w:val="003366B9"/>
    <w:rsid w:val="00336830"/>
    <w:rsid w:val="003368DC"/>
    <w:rsid w:val="00337EE1"/>
    <w:rsid w:val="003404D2"/>
    <w:rsid w:val="00340753"/>
    <w:rsid w:val="00340AD7"/>
    <w:rsid w:val="00341214"/>
    <w:rsid w:val="0034236B"/>
    <w:rsid w:val="003428B2"/>
    <w:rsid w:val="00342961"/>
    <w:rsid w:val="00342CDC"/>
    <w:rsid w:val="00342E92"/>
    <w:rsid w:val="00343248"/>
    <w:rsid w:val="00343471"/>
    <w:rsid w:val="00343737"/>
    <w:rsid w:val="00343D23"/>
    <w:rsid w:val="00343FBC"/>
    <w:rsid w:val="00344590"/>
    <w:rsid w:val="00344DC3"/>
    <w:rsid w:val="0034554A"/>
    <w:rsid w:val="00345927"/>
    <w:rsid w:val="00345C92"/>
    <w:rsid w:val="00345E2E"/>
    <w:rsid w:val="00347844"/>
    <w:rsid w:val="00350584"/>
    <w:rsid w:val="00350A37"/>
    <w:rsid w:val="00350C72"/>
    <w:rsid w:val="00350CCF"/>
    <w:rsid w:val="003515BA"/>
    <w:rsid w:val="00351857"/>
    <w:rsid w:val="0035288E"/>
    <w:rsid w:val="00353B4E"/>
    <w:rsid w:val="003542EB"/>
    <w:rsid w:val="003545E8"/>
    <w:rsid w:val="00354E2B"/>
    <w:rsid w:val="00355B27"/>
    <w:rsid w:val="003561BF"/>
    <w:rsid w:val="003566F0"/>
    <w:rsid w:val="0035722E"/>
    <w:rsid w:val="00357812"/>
    <w:rsid w:val="00357B3C"/>
    <w:rsid w:val="00357F30"/>
    <w:rsid w:val="003600AC"/>
    <w:rsid w:val="00360739"/>
    <w:rsid w:val="0036087D"/>
    <w:rsid w:val="00360933"/>
    <w:rsid w:val="003610E1"/>
    <w:rsid w:val="00361357"/>
    <w:rsid w:val="003618A0"/>
    <w:rsid w:val="00361A93"/>
    <w:rsid w:val="00361F9B"/>
    <w:rsid w:val="003620E7"/>
    <w:rsid w:val="00362799"/>
    <w:rsid w:val="00363C53"/>
    <w:rsid w:val="00363FF5"/>
    <w:rsid w:val="003644BF"/>
    <w:rsid w:val="0036513E"/>
    <w:rsid w:val="00365525"/>
    <w:rsid w:val="0036561C"/>
    <w:rsid w:val="00366149"/>
    <w:rsid w:val="003671BE"/>
    <w:rsid w:val="00367B3E"/>
    <w:rsid w:val="00367DA0"/>
    <w:rsid w:val="00367F41"/>
    <w:rsid w:val="0037036F"/>
    <w:rsid w:val="0037046B"/>
    <w:rsid w:val="00371E74"/>
    <w:rsid w:val="00372485"/>
    <w:rsid w:val="0037254E"/>
    <w:rsid w:val="00373200"/>
    <w:rsid w:val="00375EF5"/>
    <w:rsid w:val="003762E0"/>
    <w:rsid w:val="003767A5"/>
    <w:rsid w:val="0037720C"/>
    <w:rsid w:val="0037746A"/>
    <w:rsid w:val="00377715"/>
    <w:rsid w:val="0038034D"/>
    <w:rsid w:val="003803BB"/>
    <w:rsid w:val="00380438"/>
    <w:rsid w:val="00380B56"/>
    <w:rsid w:val="00380D3D"/>
    <w:rsid w:val="00381A31"/>
    <w:rsid w:val="00381D15"/>
    <w:rsid w:val="00381F16"/>
    <w:rsid w:val="003821B5"/>
    <w:rsid w:val="003826E0"/>
    <w:rsid w:val="00382C83"/>
    <w:rsid w:val="00382D2B"/>
    <w:rsid w:val="00383B34"/>
    <w:rsid w:val="00383CC6"/>
    <w:rsid w:val="00384455"/>
    <w:rsid w:val="003845CA"/>
    <w:rsid w:val="00384778"/>
    <w:rsid w:val="00385254"/>
    <w:rsid w:val="003859BE"/>
    <w:rsid w:val="003865B1"/>
    <w:rsid w:val="00387113"/>
    <w:rsid w:val="0038731A"/>
    <w:rsid w:val="00387B74"/>
    <w:rsid w:val="00387C28"/>
    <w:rsid w:val="00390D04"/>
    <w:rsid w:val="00390F03"/>
    <w:rsid w:val="00391210"/>
    <w:rsid w:val="003934CA"/>
    <w:rsid w:val="00394164"/>
    <w:rsid w:val="00394934"/>
    <w:rsid w:val="00397236"/>
    <w:rsid w:val="003973A4"/>
    <w:rsid w:val="003A04DB"/>
    <w:rsid w:val="003A06EE"/>
    <w:rsid w:val="003A09D8"/>
    <w:rsid w:val="003A0C6D"/>
    <w:rsid w:val="003A0DB8"/>
    <w:rsid w:val="003A130A"/>
    <w:rsid w:val="003A1815"/>
    <w:rsid w:val="003A1E74"/>
    <w:rsid w:val="003A216A"/>
    <w:rsid w:val="003A2294"/>
    <w:rsid w:val="003A28DC"/>
    <w:rsid w:val="003A2A8A"/>
    <w:rsid w:val="003A34F3"/>
    <w:rsid w:val="003A4386"/>
    <w:rsid w:val="003A4841"/>
    <w:rsid w:val="003A4986"/>
    <w:rsid w:val="003A4CBB"/>
    <w:rsid w:val="003A549A"/>
    <w:rsid w:val="003A5828"/>
    <w:rsid w:val="003A5947"/>
    <w:rsid w:val="003A5F5B"/>
    <w:rsid w:val="003A68CB"/>
    <w:rsid w:val="003A6AB5"/>
    <w:rsid w:val="003A6ADB"/>
    <w:rsid w:val="003A7120"/>
    <w:rsid w:val="003A760C"/>
    <w:rsid w:val="003A789A"/>
    <w:rsid w:val="003B1074"/>
    <w:rsid w:val="003B12EC"/>
    <w:rsid w:val="003B26AE"/>
    <w:rsid w:val="003B2801"/>
    <w:rsid w:val="003B30B8"/>
    <w:rsid w:val="003B319F"/>
    <w:rsid w:val="003B3D67"/>
    <w:rsid w:val="003B471E"/>
    <w:rsid w:val="003B4CCE"/>
    <w:rsid w:val="003B5304"/>
    <w:rsid w:val="003B6566"/>
    <w:rsid w:val="003B6A4D"/>
    <w:rsid w:val="003B7673"/>
    <w:rsid w:val="003B7852"/>
    <w:rsid w:val="003C1253"/>
    <w:rsid w:val="003C125C"/>
    <w:rsid w:val="003C19DC"/>
    <w:rsid w:val="003C1D9C"/>
    <w:rsid w:val="003C1DEA"/>
    <w:rsid w:val="003C297E"/>
    <w:rsid w:val="003C35C4"/>
    <w:rsid w:val="003C4B23"/>
    <w:rsid w:val="003C531B"/>
    <w:rsid w:val="003C618F"/>
    <w:rsid w:val="003C64AD"/>
    <w:rsid w:val="003C77C9"/>
    <w:rsid w:val="003C77E0"/>
    <w:rsid w:val="003D0257"/>
    <w:rsid w:val="003D08DC"/>
    <w:rsid w:val="003D0A3D"/>
    <w:rsid w:val="003D0F3F"/>
    <w:rsid w:val="003D17D7"/>
    <w:rsid w:val="003D19DD"/>
    <w:rsid w:val="003D2678"/>
    <w:rsid w:val="003D2F75"/>
    <w:rsid w:val="003D3044"/>
    <w:rsid w:val="003D30EF"/>
    <w:rsid w:val="003D32E8"/>
    <w:rsid w:val="003D3608"/>
    <w:rsid w:val="003D379E"/>
    <w:rsid w:val="003D39CF"/>
    <w:rsid w:val="003D4016"/>
    <w:rsid w:val="003D49A6"/>
    <w:rsid w:val="003D4A3D"/>
    <w:rsid w:val="003D5254"/>
    <w:rsid w:val="003D5370"/>
    <w:rsid w:val="003D55D5"/>
    <w:rsid w:val="003D68F1"/>
    <w:rsid w:val="003D71A3"/>
    <w:rsid w:val="003D7F68"/>
    <w:rsid w:val="003D7FAC"/>
    <w:rsid w:val="003E0226"/>
    <w:rsid w:val="003E0A99"/>
    <w:rsid w:val="003E1101"/>
    <w:rsid w:val="003E22C5"/>
    <w:rsid w:val="003E2342"/>
    <w:rsid w:val="003E27C2"/>
    <w:rsid w:val="003E2B8A"/>
    <w:rsid w:val="003E2DAE"/>
    <w:rsid w:val="003E3559"/>
    <w:rsid w:val="003E3FBA"/>
    <w:rsid w:val="003E413E"/>
    <w:rsid w:val="003E4A13"/>
    <w:rsid w:val="003E5705"/>
    <w:rsid w:val="003E5FDA"/>
    <w:rsid w:val="003E6710"/>
    <w:rsid w:val="003E6765"/>
    <w:rsid w:val="003E6CCC"/>
    <w:rsid w:val="003E6F65"/>
    <w:rsid w:val="003E7566"/>
    <w:rsid w:val="003E7BA2"/>
    <w:rsid w:val="003E7EB0"/>
    <w:rsid w:val="003F04B7"/>
    <w:rsid w:val="003F0C92"/>
    <w:rsid w:val="003F10EE"/>
    <w:rsid w:val="003F16F6"/>
    <w:rsid w:val="003F1A30"/>
    <w:rsid w:val="003F218E"/>
    <w:rsid w:val="003F259F"/>
    <w:rsid w:val="003F265F"/>
    <w:rsid w:val="003F2699"/>
    <w:rsid w:val="003F3244"/>
    <w:rsid w:val="003F3507"/>
    <w:rsid w:val="003F3841"/>
    <w:rsid w:val="003F3B7E"/>
    <w:rsid w:val="003F4B5E"/>
    <w:rsid w:val="003F4B80"/>
    <w:rsid w:val="003F4DC7"/>
    <w:rsid w:val="003F5235"/>
    <w:rsid w:val="003F5274"/>
    <w:rsid w:val="003F692F"/>
    <w:rsid w:val="003F7378"/>
    <w:rsid w:val="003F7C76"/>
    <w:rsid w:val="003F7E3C"/>
    <w:rsid w:val="00400943"/>
    <w:rsid w:val="00400A16"/>
    <w:rsid w:val="00400B15"/>
    <w:rsid w:val="00402652"/>
    <w:rsid w:val="004027E4"/>
    <w:rsid w:val="00403070"/>
    <w:rsid w:val="004041C1"/>
    <w:rsid w:val="004044E4"/>
    <w:rsid w:val="00404753"/>
    <w:rsid w:val="00404ADB"/>
    <w:rsid w:val="00405CE3"/>
    <w:rsid w:val="00405EBA"/>
    <w:rsid w:val="004065B5"/>
    <w:rsid w:val="00406ADF"/>
    <w:rsid w:val="004074FA"/>
    <w:rsid w:val="00407E51"/>
    <w:rsid w:val="004105AD"/>
    <w:rsid w:val="0041071D"/>
    <w:rsid w:val="00410CA4"/>
    <w:rsid w:val="00410CC1"/>
    <w:rsid w:val="00410E40"/>
    <w:rsid w:val="00411137"/>
    <w:rsid w:val="004118DD"/>
    <w:rsid w:val="00412768"/>
    <w:rsid w:val="00413772"/>
    <w:rsid w:val="00413C65"/>
    <w:rsid w:val="00414AFC"/>
    <w:rsid w:val="00414C78"/>
    <w:rsid w:val="00414F57"/>
    <w:rsid w:val="004151A7"/>
    <w:rsid w:val="00415310"/>
    <w:rsid w:val="004153E4"/>
    <w:rsid w:val="00415451"/>
    <w:rsid w:val="00415C9A"/>
    <w:rsid w:val="00415DFD"/>
    <w:rsid w:val="004169A4"/>
    <w:rsid w:val="004177A2"/>
    <w:rsid w:val="00420166"/>
    <w:rsid w:val="00420F38"/>
    <w:rsid w:val="00421661"/>
    <w:rsid w:val="00421709"/>
    <w:rsid w:val="004221D5"/>
    <w:rsid w:val="00422290"/>
    <w:rsid w:val="004235E7"/>
    <w:rsid w:val="00423763"/>
    <w:rsid w:val="004240D9"/>
    <w:rsid w:val="00424B56"/>
    <w:rsid w:val="00424F77"/>
    <w:rsid w:val="00426CFA"/>
    <w:rsid w:val="0042762F"/>
    <w:rsid w:val="00427680"/>
    <w:rsid w:val="00427CCF"/>
    <w:rsid w:val="00427DC7"/>
    <w:rsid w:val="004301E7"/>
    <w:rsid w:val="00431613"/>
    <w:rsid w:val="00431792"/>
    <w:rsid w:val="00431DCA"/>
    <w:rsid w:val="0043226D"/>
    <w:rsid w:val="0043231A"/>
    <w:rsid w:val="0043297A"/>
    <w:rsid w:val="00432EB2"/>
    <w:rsid w:val="00434876"/>
    <w:rsid w:val="0043599E"/>
    <w:rsid w:val="004368C6"/>
    <w:rsid w:val="00436CE8"/>
    <w:rsid w:val="0043714F"/>
    <w:rsid w:val="004373DC"/>
    <w:rsid w:val="00440EAF"/>
    <w:rsid w:val="00442798"/>
    <w:rsid w:val="00443291"/>
    <w:rsid w:val="00443370"/>
    <w:rsid w:val="004438B5"/>
    <w:rsid w:val="00443D9E"/>
    <w:rsid w:val="00444B04"/>
    <w:rsid w:val="0044524E"/>
    <w:rsid w:val="00445302"/>
    <w:rsid w:val="00445F0B"/>
    <w:rsid w:val="00447037"/>
    <w:rsid w:val="004471FF"/>
    <w:rsid w:val="00447762"/>
    <w:rsid w:val="0044794E"/>
    <w:rsid w:val="00450041"/>
    <w:rsid w:val="00450643"/>
    <w:rsid w:val="0045124D"/>
    <w:rsid w:val="004518F9"/>
    <w:rsid w:val="00451EDE"/>
    <w:rsid w:val="0045211A"/>
    <w:rsid w:val="00454596"/>
    <w:rsid w:val="004555EC"/>
    <w:rsid w:val="0045598D"/>
    <w:rsid w:val="00455A05"/>
    <w:rsid w:val="00455D60"/>
    <w:rsid w:val="00455E70"/>
    <w:rsid w:val="00455E7F"/>
    <w:rsid w:val="0045604F"/>
    <w:rsid w:val="0045605D"/>
    <w:rsid w:val="00457502"/>
    <w:rsid w:val="00457766"/>
    <w:rsid w:val="0045799F"/>
    <w:rsid w:val="00457A4D"/>
    <w:rsid w:val="0046088C"/>
    <w:rsid w:val="0046135B"/>
    <w:rsid w:val="00461D47"/>
    <w:rsid w:val="00461D92"/>
    <w:rsid w:val="004624AA"/>
    <w:rsid w:val="004651B1"/>
    <w:rsid w:val="00466184"/>
    <w:rsid w:val="00466E9A"/>
    <w:rsid w:val="004673D3"/>
    <w:rsid w:val="00467AAA"/>
    <w:rsid w:val="004714A2"/>
    <w:rsid w:val="00471595"/>
    <w:rsid w:val="004718CC"/>
    <w:rsid w:val="00472F67"/>
    <w:rsid w:val="004732CE"/>
    <w:rsid w:val="0047383B"/>
    <w:rsid w:val="00473F85"/>
    <w:rsid w:val="0047410E"/>
    <w:rsid w:val="004746FE"/>
    <w:rsid w:val="00474A73"/>
    <w:rsid w:val="0047527A"/>
    <w:rsid w:val="00475875"/>
    <w:rsid w:val="00476411"/>
    <w:rsid w:val="00476DB9"/>
    <w:rsid w:val="00477123"/>
    <w:rsid w:val="00477154"/>
    <w:rsid w:val="00480A08"/>
    <w:rsid w:val="00481187"/>
    <w:rsid w:val="00481695"/>
    <w:rsid w:val="00482B64"/>
    <w:rsid w:val="00482C0E"/>
    <w:rsid w:val="00482C23"/>
    <w:rsid w:val="004834FC"/>
    <w:rsid w:val="00483883"/>
    <w:rsid w:val="00483E07"/>
    <w:rsid w:val="00483F4A"/>
    <w:rsid w:val="00485287"/>
    <w:rsid w:val="0048634F"/>
    <w:rsid w:val="004869C3"/>
    <w:rsid w:val="00486DA2"/>
    <w:rsid w:val="004871BD"/>
    <w:rsid w:val="00487258"/>
    <w:rsid w:val="0048737F"/>
    <w:rsid w:val="004919C5"/>
    <w:rsid w:val="00491C9C"/>
    <w:rsid w:val="00491DC5"/>
    <w:rsid w:val="0049287B"/>
    <w:rsid w:val="004929F9"/>
    <w:rsid w:val="00492D9F"/>
    <w:rsid w:val="00493441"/>
    <w:rsid w:val="00493811"/>
    <w:rsid w:val="00493B5D"/>
    <w:rsid w:val="00493E2E"/>
    <w:rsid w:val="0049480D"/>
    <w:rsid w:val="00494BB9"/>
    <w:rsid w:val="00495210"/>
    <w:rsid w:val="004952AE"/>
    <w:rsid w:val="00495639"/>
    <w:rsid w:val="004959E5"/>
    <w:rsid w:val="00495A96"/>
    <w:rsid w:val="00495AEC"/>
    <w:rsid w:val="00495BB3"/>
    <w:rsid w:val="00495BFE"/>
    <w:rsid w:val="00496338"/>
    <w:rsid w:val="00496766"/>
    <w:rsid w:val="00497349"/>
    <w:rsid w:val="004978DD"/>
    <w:rsid w:val="004A053F"/>
    <w:rsid w:val="004A0EC1"/>
    <w:rsid w:val="004A12E3"/>
    <w:rsid w:val="004A1597"/>
    <w:rsid w:val="004A18AB"/>
    <w:rsid w:val="004A21ED"/>
    <w:rsid w:val="004A23F6"/>
    <w:rsid w:val="004A2BF5"/>
    <w:rsid w:val="004A2F78"/>
    <w:rsid w:val="004A36BB"/>
    <w:rsid w:val="004A4153"/>
    <w:rsid w:val="004A49FD"/>
    <w:rsid w:val="004A4E4E"/>
    <w:rsid w:val="004A4FF8"/>
    <w:rsid w:val="004A56BB"/>
    <w:rsid w:val="004A5A1E"/>
    <w:rsid w:val="004A5E00"/>
    <w:rsid w:val="004A5FDD"/>
    <w:rsid w:val="004A6929"/>
    <w:rsid w:val="004A6CDE"/>
    <w:rsid w:val="004A6E4C"/>
    <w:rsid w:val="004A6EBD"/>
    <w:rsid w:val="004B02AD"/>
    <w:rsid w:val="004B1052"/>
    <w:rsid w:val="004B1751"/>
    <w:rsid w:val="004B1DFC"/>
    <w:rsid w:val="004B214B"/>
    <w:rsid w:val="004B3010"/>
    <w:rsid w:val="004B3099"/>
    <w:rsid w:val="004B334B"/>
    <w:rsid w:val="004B35BB"/>
    <w:rsid w:val="004B37A3"/>
    <w:rsid w:val="004B393F"/>
    <w:rsid w:val="004B446D"/>
    <w:rsid w:val="004B5029"/>
    <w:rsid w:val="004B516D"/>
    <w:rsid w:val="004B519E"/>
    <w:rsid w:val="004B51A0"/>
    <w:rsid w:val="004B54E9"/>
    <w:rsid w:val="004B5603"/>
    <w:rsid w:val="004B6295"/>
    <w:rsid w:val="004B64B7"/>
    <w:rsid w:val="004B65A9"/>
    <w:rsid w:val="004B71C9"/>
    <w:rsid w:val="004B71E8"/>
    <w:rsid w:val="004B75C7"/>
    <w:rsid w:val="004C0225"/>
    <w:rsid w:val="004C0253"/>
    <w:rsid w:val="004C03AD"/>
    <w:rsid w:val="004C05E2"/>
    <w:rsid w:val="004C0CF8"/>
    <w:rsid w:val="004C180A"/>
    <w:rsid w:val="004C283C"/>
    <w:rsid w:val="004C2B05"/>
    <w:rsid w:val="004C2D31"/>
    <w:rsid w:val="004C3210"/>
    <w:rsid w:val="004C336E"/>
    <w:rsid w:val="004C3EDC"/>
    <w:rsid w:val="004C3FE3"/>
    <w:rsid w:val="004C4046"/>
    <w:rsid w:val="004C4A36"/>
    <w:rsid w:val="004C4F33"/>
    <w:rsid w:val="004C73EF"/>
    <w:rsid w:val="004C7505"/>
    <w:rsid w:val="004C765C"/>
    <w:rsid w:val="004C7E04"/>
    <w:rsid w:val="004D08DB"/>
    <w:rsid w:val="004D1A17"/>
    <w:rsid w:val="004D2D68"/>
    <w:rsid w:val="004D3396"/>
    <w:rsid w:val="004D36F4"/>
    <w:rsid w:val="004D4BF1"/>
    <w:rsid w:val="004D4F46"/>
    <w:rsid w:val="004D56FF"/>
    <w:rsid w:val="004D65E4"/>
    <w:rsid w:val="004E03E6"/>
    <w:rsid w:val="004E0ABA"/>
    <w:rsid w:val="004E2BFF"/>
    <w:rsid w:val="004E3397"/>
    <w:rsid w:val="004E39D3"/>
    <w:rsid w:val="004E3E5F"/>
    <w:rsid w:val="004E3FFB"/>
    <w:rsid w:val="004E46B1"/>
    <w:rsid w:val="004E4739"/>
    <w:rsid w:val="004E4DF6"/>
    <w:rsid w:val="004E508A"/>
    <w:rsid w:val="004E58D9"/>
    <w:rsid w:val="004E616D"/>
    <w:rsid w:val="004E66A1"/>
    <w:rsid w:val="004E7CB9"/>
    <w:rsid w:val="004F00F6"/>
    <w:rsid w:val="004F0511"/>
    <w:rsid w:val="004F1BDE"/>
    <w:rsid w:val="004F2763"/>
    <w:rsid w:val="004F2CEE"/>
    <w:rsid w:val="004F3663"/>
    <w:rsid w:val="004F3B1F"/>
    <w:rsid w:val="004F476E"/>
    <w:rsid w:val="004F48A6"/>
    <w:rsid w:val="004F4A6F"/>
    <w:rsid w:val="004F4D40"/>
    <w:rsid w:val="004F51BB"/>
    <w:rsid w:val="004F52E7"/>
    <w:rsid w:val="004F556E"/>
    <w:rsid w:val="004F591C"/>
    <w:rsid w:val="004F5923"/>
    <w:rsid w:val="004F595C"/>
    <w:rsid w:val="004F60E4"/>
    <w:rsid w:val="004F6DDC"/>
    <w:rsid w:val="004F7277"/>
    <w:rsid w:val="004F74D5"/>
    <w:rsid w:val="004F7A4E"/>
    <w:rsid w:val="004F7F44"/>
    <w:rsid w:val="00500964"/>
    <w:rsid w:val="00500F2E"/>
    <w:rsid w:val="00501215"/>
    <w:rsid w:val="005012D4"/>
    <w:rsid w:val="00501624"/>
    <w:rsid w:val="0050169B"/>
    <w:rsid w:val="00501947"/>
    <w:rsid w:val="00501BC1"/>
    <w:rsid w:val="00502797"/>
    <w:rsid w:val="005027FF"/>
    <w:rsid w:val="005037B4"/>
    <w:rsid w:val="00503E21"/>
    <w:rsid w:val="00504281"/>
    <w:rsid w:val="00506EFA"/>
    <w:rsid w:val="005078A4"/>
    <w:rsid w:val="005079BF"/>
    <w:rsid w:val="005103C7"/>
    <w:rsid w:val="00511801"/>
    <w:rsid w:val="00512009"/>
    <w:rsid w:val="0051269A"/>
    <w:rsid w:val="00512E30"/>
    <w:rsid w:val="005134C5"/>
    <w:rsid w:val="00513DE0"/>
    <w:rsid w:val="00513E96"/>
    <w:rsid w:val="00515533"/>
    <w:rsid w:val="00515878"/>
    <w:rsid w:val="00515C93"/>
    <w:rsid w:val="0052019B"/>
    <w:rsid w:val="00520E51"/>
    <w:rsid w:val="005219A3"/>
    <w:rsid w:val="005219E7"/>
    <w:rsid w:val="00522D84"/>
    <w:rsid w:val="00523341"/>
    <w:rsid w:val="005234FD"/>
    <w:rsid w:val="00523791"/>
    <w:rsid w:val="00523C81"/>
    <w:rsid w:val="0052650D"/>
    <w:rsid w:val="00526F1E"/>
    <w:rsid w:val="005270FE"/>
    <w:rsid w:val="005274D2"/>
    <w:rsid w:val="00527DE1"/>
    <w:rsid w:val="00527E06"/>
    <w:rsid w:val="00527F5E"/>
    <w:rsid w:val="00527F68"/>
    <w:rsid w:val="0053070A"/>
    <w:rsid w:val="00530A2E"/>
    <w:rsid w:val="0053110A"/>
    <w:rsid w:val="00531947"/>
    <w:rsid w:val="005319E7"/>
    <w:rsid w:val="00531AE0"/>
    <w:rsid w:val="00531B9A"/>
    <w:rsid w:val="00531D15"/>
    <w:rsid w:val="0053231D"/>
    <w:rsid w:val="0053302C"/>
    <w:rsid w:val="005331DB"/>
    <w:rsid w:val="00533216"/>
    <w:rsid w:val="00533ABB"/>
    <w:rsid w:val="00533DCD"/>
    <w:rsid w:val="00534C7D"/>
    <w:rsid w:val="005351C1"/>
    <w:rsid w:val="00535224"/>
    <w:rsid w:val="005356A3"/>
    <w:rsid w:val="00535AA9"/>
    <w:rsid w:val="00535B51"/>
    <w:rsid w:val="0053705F"/>
    <w:rsid w:val="00537604"/>
    <w:rsid w:val="0053771D"/>
    <w:rsid w:val="00537FCA"/>
    <w:rsid w:val="00540324"/>
    <w:rsid w:val="00540EFB"/>
    <w:rsid w:val="00542175"/>
    <w:rsid w:val="00542377"/>
    <w:rsid w:val="005423CD"/>
    <w:rsid w:val="005429FE"/>
    <w:rsid w:val="0054358A"/>
    <w:rsid w:val="005435F9"/>
    <w:rsid w:val="00543919"/>
    <w:rsid w:val="0054421A"/>
    <w:rsid w:val="00544E93"/>
    <w:rsid w:val="0054532C"/>
    <w:rsid w:val="005455E1"/>
    <w:rsid w:val="00545D9E"/>
    <w:rsid w:val="00545DF8"/>
    <w:rsid w:val="00545E0B"/>
    <w:rsid w:val="005460FB"/>
    <w:rsid w:val="005467AD"/>
    <w:rsid w:val="00547324"/>
    <w:rsid w:val="00547560"/>
    <w:rsid w:val="005476EB"/>
    <w:rsid w:val="005479B8"/>
    <w:rsid w:val="005500AB"/>
    <w:rsid w:val="005514D8"/>
    <w:rsid w:val="00551782"/>
    <w:rsid w:val="00551873"/>
    <w:rsid w:val="00552A41"/>
    <w:rsid w:val="00552B68"/>
    <w:rsid w:val="005540A2"/>
    <w:rsid w:val="00554165"/>
    <w:rsid w:val="00554698"/>
    <w:rsid w:val="00555117"/>
    <w:rsid w:val="00557D3A"/>
    <w:rsid w:val="00560597"/>
    <w:rsid w:val="005608A9"/>
    <w:rsid w:val="00561515"/>
    <w:rsid w:val="00561BBD"/>
    <w:rsid w:val="00561CF6"/>
    <w:rsid w:val="00562562"/>
    <w:rsid w:val="005629C8"/>
    <w:rsid w:val="00562CD5"/>
    <w:rsid w:val="005630C4"/>
    <w:rsid w:val="00563246"/>
    <w:rsid w:val="0056373A"/>
    <w:rsid w:val="00563955"/>
    <w:rsid w:val="00563AC8"/>
    <w:rsid w:val="00563EF1"/>
    <w:rsid w:val="00563EF9"/>
    <w:rsid w:val="00566897"/>
    <w:rsid w:val="00566AB4"/>
    <w:rsid w:val="00566C7E"/>
    <w:rsid w:val="0056784A"/>
    <w:rsid w:val="00567BD1"/>
    <w:rsid w:val="0057039D"/>
    <w:rsid w:val="00571BC2"/>
    <w:rsid w:val="005725C6"/>
    <w:rsid w:val="0057302D"/>
    <w:rsid w:val="005732B0"/>
    <w:rsid w:val="005735FC"/>
    <w:rsid w:val="005737ED"/>
    <w:rsid w:val="00574860"/>
    <w:rsid w:val="00575163"/>
    <w:rsid w:val="00575398"/>
    <w:rsid w:val="005759E7"/>
    <w:rsid w:val="00575AC5"/>
    <w:rsid w:val="00575C13"/>
    <w:rsid w:val="0057605D"/>
    <w:rsid w:val="00576859"/>
    <w:rsid w:val="00577C8A"/>
    <w:rsid w:val="0058077F"/>
    <w:rsid w:val="00580796"/>
    <w:rsid w:val="005811D3"/>
    <w:rsid w:val="00581347"/>
    <w:rsid w:val="0058182C"/>
    <w:rsid w:val="00581A5B"/>
    <w:rsid w:val="00581AC9"/>
    <w:rsid w:val="00581CBA"/>
    <w:rsid w:val="00583363"/>
    <w:rsid w:val="00583FEF"/>
    <w:rsid w:val="005849F8"/>
    <w:rsid w:val="0058537D"/>
    <w:rsid w:val="00585DA3"/>
    <w:rsid w:val="00585DB1"/>
    <w:rsid w:val="00585FB9"/>
    <w:rsid w:val="00586644"/>
    <w:rsid w:val="00586ACB"/>
    <w:rsid w:val="0058733B"/>
    <w:rsid w:val="00590573"/>
    <w:rsid w:val="00590BC6"/>
    <w:rsid w:val="005910F5"/>
    <w:rsid w:val="0059341B"/>
    <w:rsid w:val="005934EF"/>
    <w:rsid w:val="005938DF"/>
    <w:rsid w:val="00593ECC"/>
    <w:rsid w:val="00594674"/>
    <w:rsid w:val="00594855"/>
    <w:rsid w:val="00594E9C"/>
    <w:rsid w:val="005952FE"/>
    <w:rsid w:val="005954B5"/>
    <w:rsid w:val="00595C7D"/>
    <w:rsid w:val="00595D76"/>
    <w:rsid w:val="00596209"/>
    <w:rsid w:val="005962BE"/>
    <w:rsid w:val="00596487"/>
    <w:rsid w:val="005968EC"/>
    <w:rsid w:val="00596931"/>
    <w:rsid w:val="005975E4"/>
    <w:rsid w:val="00597B49"/>
    <w:rsid w:val="005A099B"/>
    <w:rsid w:val="005A09C8"/>
    <w:rsid w:val="005A0BCE"/>
    <w:rsid w:val="005A10E6"/>
    <w:rsid w:val="005A123C"/>
    <w:rsid w:val="005A1283"/>
    <w:rsid w:val="005A128D"/>
    <w:rsid w:val="005A15C2"/>
    <w:rsid w:val="005A1939"/>
    <w:rsid w:val="005A19C7"/>
    <w:rsid w:val="005A2067"/>
    <w:rsid w:val="005A2C0D"/>
    <w:rsid w:val="005A2CE2"/>
    <w:rsid w:val="005A2D0B"/>
    <w:rsid w:val="005A2D9C"/>
    <w:rsid w:val="005A3620"/>
    <w:rsid w:val="005A3A19"/>
    <w:rsid w:val="005A4D59"/>
    <w:rsid w:val="005A4DAE"/>
    <w:rsid w:val="005A55FE"/>
    <w:rsid w:val="005A58BB"/>
    <w:rsid w:val="005A67D7"/>
    <w:rsid w:val="005A6A11"/>
    <w:rsid w:val="005A6B90"/>
    <w:rsid w:val="005A6EAB"/>
    <w:rsid w:val="005A79E4"/>
    <w:rsid w:val="005A7B76"/>
    <w:rsid w:val="005B0403"/>
    <w:rsid w:val="005B169C"/>
    <w:rsid w:val="005B1F89"/>
    <w:rsid w:val="005B218E"/>
    <w:rsid w:val="005B2A6D"/>
    <w:rsid w:val="005B347B"/>
    <w:rsid w:val="005B359B"/>
    <w:rsid w:val="005B397B"/>
    <w:rsid w:val="005B3CE3"/>
    <w:rsid w:val="005B3CF7"/>
    <w:rsid w:val="005B419F"/>
    <w:rsid w:val="005B4710"/>
    <w:rsid w:val="005B4845"/>
    <w:rsid w:val="005B4B88"/>
    <w:rsid w:val="005B4BF4"/>
    <w:rsid w:val="005B4DD1"/>
    <w:rsid w:val="005B4F0F"/>
    <w:rsid w:val="005B52CC"/>
    <w:rsid w:val="005B5334"/>
    <w:rsid w:val="005B57C4"/>
    <w:rsid w:val="005B64B6"/>
    <w:rsid w:val="005B6BF0"/>
    <w:rsid w:val="005B7455"/>
    <w:rsid w:val="005B7C2B"/>
    <w:rsid w:val="005C04DA"/>
    <w:rsid w:val="005C3347"/>
    <w:rsid w:val="005C4341"/>
    <w:rsid w:val="005C4545"/>
    <w:rsid w:val="005C5CE1"/>
    <w:rsid w:val="005C5E04"/>
    <w:rsid w:val="005C6303"/>
    <w:rsid w:val="005C6890"/>
    <w:rsid w:val="005C6E0F"/>
    <w:rsid w:val="005C7DDB"/>
    <w:rsid w:val="005D02D5"/>
    <w:rsid w:val="005D0424"/>
    <w:rsid w:val="005D1745"/>
    <w:rsid w:val="005D1819"/>
    <w:rsid w:val="005D1833"/>
    <w:rsid w:val="005D212B"/>
    <w:rsid w:val="005D2191"/>
    <w:rsid w:val="005D2502"/>
    <w:rsid w:val="005D3500"/>
    <w:rsid w:val="005D3B4A"/>
    <w:rsid w:val="005D40BB"/>
    <w:rsid w:val="005D45F8"/>
    <w:rsid w:val="005D47F3"/>
    <w:rsid w:val="005D49BF"/>
    <w:rsid w:val="005D4A25"/>
    <w:rsid w:val="005D4AA5"/>
    <w:rsid w:val="005D554E"/>
    <w:rsid w:val="005D5C36"/>
    <w:rsid w:val="005D5C5B"/>
    <w:rsid w:val="005D5E78"/>
    <w:rsid w:val="005D6250"/>
    <w:rsid w:val="005D6A73"/>
    <w:rsid w:val="005D6EF8"/>
    <w:rsid w:val="005D6F4E"/>
    <w:rsid w:val="005D78F5"/>
    <w:rsid w:val="005D7C73"/>
    <w:rsid w:val="005E14A6"/>
    <w:rsid w:val="005E1578"/>
    <w:rsid w:val="005E257E"/>
    <w:rsid w:val="005E3ACD"/>
    <w:rsid w:val="005E3D56"/>
    <w:rsid w:val="005E4559"/>
    <w:rsid w:val="005E6B3C"/>
    <w:rsid w:val="005E7226"/>
    <w:rsid w:val="005E75FE"/>
    <w:rsid w:val="005E7A57"/>
    <w:rsid w:val="005F2001"/>
    <w:rsid w:val="005F24B0"/>
    <w:rsid w:val="005F27D7"/>
    <w:rsid w:val="005F2D55"/>
    <w:rsid w:val="005F3D42"/>
    <w:rsid w:val="005F4236"/>
    <w:rsid w:val="005F4566"/>
    <w:rsid w:val="005F561E"/>
    <w:rsid w:val="005F6CAB"/>
    <w:rsid w:val="005F7D28"/>
    <w:rsid w:val="00600432"/>
    <w:rsid w:val="00601133"/>
    <w:rsid w:val="00601B91"/>
    <w:rsid w:val="0060260E"/>
    <w:rsid w:val="0060293D"/>
    <w:rsid w:val="00602EAF"/>
    <w:rsid w:val="006038C6"/>
    <w:rsid w:val="00604269"/>
    <w:rsid w:val="00604315"/>
    <w:rsid w:val="0060463F"/>
    <w:rsid w:val="00604E26"/>
    <w:rsid w:val="00604FA2"/>
    <w:rsid w:val="00604FFC"/>
    <w:rsid w:val="006050A5"/>
    <w:rsid w:val="006052CF"/>
    <w:rsid w:val="00605919"/>
    <w:rsid w:val="006059F6"/>
    <w:rsid w:val="0060746E"/>
    <w:rsid w:val="00607582"/>
    <w:rsid w:val="00607A56"/>
    <w:rsid w:val="00607B8D"/>
    <w:rsid w:val="00607F18"/>
    <w:rsid w:val="0061002C"/>
    <w:rsid w:val="0061043D"/>
    <w:rsid w:val="00611F5C"/>
    <w:rsid w:val="00612905"/>
    <w:rsid w:val="00612A14"/>
    <w:rsid w:val="0061464D"/>
    <w:rsid w:val="00615E26"/>
    <w:rsid w:val="006167B4"/>
    <w:rsid w:val="00616E09"/>
    <w:rsid w:val="00617206"/>
    <w:rsid w:val="00617754"/>
    <w:rsid w:val="00617E77"/>
    <w:rsid w:val="006204A2"/>
    <w:rsid w:val="006204F6"/>
    <w:rsid w:val="006210F6"/>
    <w:rsid w:val="00621279"/>
    <w:rsid w:val="00622A3B"/>
    <w:rsid w:val="00622EEA"/>
    <w:rsid w:val="00623219"/>
    <w:rsid w:val="0062396C"/>
    <w:rsid w:val="00623C2E"/>
    <w:rsid w:val="00623D7E"/>
    <w:rsid w:val="00623FF9"/>
    <w:rsid w:val="00624035"/>
    <w:rsid w:val="00624F54"/>
    <w:rsid w:val="006252A4"/>
    <w:rsid w:val="0062569F"/>
    <w:rsid w:val="006259E4"/>
    <w:rsid w:val="00625C8F"/>
    <w:rsid w:val="00625D7A"/>
    <w:rsid w:val="00626F16"/>
    <w:rsid w:val="00627752"/>
    <w:rsid w:val="0062777E"/>
    <w:rsid w:val="00627D1D"/>
    <w:rsid w:val="00627D4E"/>
    <w:rsid w:val="00627DB4"/>
    <w:rsid w:val="006306F7"/>
    <w:rsid w:val="00630E71"/>
    <w:rsid w:val="00632661"/>
    <w:rsid w:val="00632B89"/>
    <w:rsid w:val="00633005"/>
    <w:rsid w:val="0063338B"/>
    <w:rsid w:val="00634478"/>
    <w:rsid w:val="00634ACD"/>
    <w:rsid w:val="00634BCB"/>
    <w:rsid w:val="00636724"/>
    <w:rsid w:val="0063695E"/>
    <w:rsid w:val="00636D0D"/>
    <w:rsid w:val="006370A2"/>
    <w:rsid w:val="00640BB1"/>
    <w:rsid w:val="006415DC"/>
    <w:rsid w:val="0064167E"/>
    <w:rsid w:val="0064200C"/>
    <w:rsid w:val="006421E3"/>
    <w:rsid w:val="00642D45"/>
    <w:rsid w:val="00642DDA"/>
    <w:rsid w:val="006435B1"/>
    <w:rsid w:val="00644373"/>
    <w:rsid w:val="006448BD"/>
    <w:rsid w:val="006449C9"/>
    <w:rsid w:val="00644B95"/>
    <w:rsid w:val="00645039"/>
    <w:rsid w:val="00645915"/>
    <w:rsid w:val="00645C2C"/>
    <w:rsid w:val="00645DAC"/>
    <w:rsid w:val="006462AC"/>
    <w:rsid w:val="006468BB"/>
    <w:rsid w:val="00646DF3"/>
    <w:rsid w:val="006470D3"/>
    <w:rsid w:val="00647687"/>
    <w:rsid w:val="00647B1D"/>
    <w:rsid w:val="006500AF"/>
    <w:rsid w:val="0065139B"/>
    <w:rsid w:val="006516E6"/>
    <w:rsid w:val="006518CF"/>
    <w:rsid w:val="006519C3"/>
    <w:rsid w:val="006522E7"/>
    <w:rsid w:val="00652503"/>
    <w:rsid w:val="0065256F"/>
    <w:rsid w:val="00652B30"/>
    <w:rsid w:val="00652FC3"/>
    <w:rsid w:val="0065304E"/>
    <w:rsid w:val="006531C6"/>
    <w:rsid w:val="00653E5E"/>
    <w:rsid w:val="00655264"/>
    <w:rsid w:val="00655825"/>
    <w:rsid w:val="0065583E"/>
    <w:rsid w:val="00655C94"/>
    <w:rsid w:val="00656345"/>
    <w:rsid w:val="00656DC6"/>
    <w:rsid w:val="00660EC6"/>
    <w:rsid w:val="00661DC7"/>
    <w:rsid w:val="00662552"/>
    <w:rsid w:val="006626AE"/>
    <w:rsid w:val="0066295F"/>
    <w:rsid w:val="0066390A"/>
    <w:rsid w:val="00664110"/>
    <w:rsid w:val="00664617"/>
    <w:rsid w:val="00664D17"/>
    <w:rsid w:val="00665286"/>
    <w:rsid w:val="00665820"/>
    <w:rsid w:val="00665B86"/>
    <w:rsid w:val="00665F9E"/>
    <w:rsid w:val="0066634A"/>
    <w:rsid w:val="00666520"/>
    <w:rsid w:val="00666C3A"/>
    <w:rsid w:val="00667020"/>
    <w:rsid w:val="00667ABF"/>
    <w:rsid w:val="00667C5B"/>
    <w:rsid w:val="00667E14"/>
    <w:rsid w:val="006701CA"/>
    <w:rsid w:val="00670822"/>
    <w:rsid w:val="00670B86"/>
    <w:rsid w:val="00671274"/>
    <w:rsid w:val="006714C4"/>
    <w:rsid w:val="00672016"/>
    <w:rsid w:val="00672770"/>
    <w:rsid w:val="00673277"/>
    <w:rsid w:val="006732DE"/>
    <w:rsid w:val="00673940"/>
    <w:rsid w:val="006748B0"/>
    <w:rsid w:val="00675553"/>
    <w:rsid w:val="00675B90"/>
    <w:rsid w:val="00676443"/>
    <w:rsid w:val="00676637"/>
    <w:rsid w:val="00676909"/>
    <w:rsid w:val="0067774B"/>
    <w:rsid w:val="00680125"/>
    <w:rsid w:val="006803F9"/>
    <w:rsid w:val="00680A31"/>
    <w:rsid w:val="00680E12"/>
    <w:rsid w:val="00681F3C"/>
    <w:rsid w:val="00682E19"/>
    <w:rsid w:val="00682FD9"/>
    <w:rsid w:val="006836E4"/>
    <w:rsid w:val="0068398F"/>
    <w:rsid w:val="006842E9"/>
    <w:rsid w:val="00684715"/>
    <w:rsid w:val="0068668D"/>
    <w:rsid w:val="00686D72"/>
    <w:rsid w:val="00687376"/>
    <w:rsid w:val="006874C7"/>
    <w:rsid w:val="0068779F"/>
    <w:rsid w:val="00687958"/>
    <w:rsid w:val="00690922"/>
    <w:rsid w:val="00690C4F"/>
    <w:rsid w:val="0069108A"/>
    <w:rsid w:val="0069136C"/>
    <w:rsid w:val="00691896"/>
    <w:rsid w:val="00691EB8"/>
    <w:rsid w:val="00692645"/>
    <w:rsid w:val="00692CDE"/>
    <w:rsid w:val="00692D0A"/>
    <w:rsid w:val="00693073"/>
    <w:rsid w:val="00695362"/>
    <w:rsid w:val="0069613F"/>
    <w:rsid w:val="00696268"/>
    <w:rsid w:val="00696371"/>
    <w:rsid w:val="00696632"/>
    <w:rsid w:val="00697651"/>
    <w:rsid w:val="006977FF"/>
    <w:rsid w:val="006A01FA"/>
    <w:rsid w:val="006A043B"/>
    <w:rsid w:val="006A0E9E"/>
    <w:rsid w:val="006A1250"/>
    <w:rsid w:val="006A25C7"/>
    <w:rsid w:val="006A26C9"/>
    <w:rsid w:val="006A3C1E"/>
    <w:rsid w:val="006A4AAD"/>
    <w:rsid w:val="006A515F"/>
    <w:rsid w:val="006A5DF1"/>
    <w:rsid w:val="006A5E8A"/>
    <w:rsid w:val="006A6DA2"/>
    <w:rsid w:val="006A731B"/>
    <w:rsid w:val="006A7982"/>
    <w:rsid w:val="006A7AB2"/>
    <w:rsid w:val="006A7C57"/>
    <w:rsid w:val="006A7EB2"/>
    <w:rsid w:val="006A7EFB"/>
    <w:rsid w:val="006B02C2"/>
    <w:rsid w:val="006B061F"/>
    <w:rsid w:val="006B236A"/>
    <w:rsid w:val="006B2814"/>
    <w:rsid w:val="006B2DB6"/>
    <w:rsid w:val="006B2EEC"/>
    <w:rsid w:val="006B2FAC"/>
    <w:rsid w:val="006B301B"/>
    <w:rsid w:val="006B397D"/>
    <w:rsid w:val="006B40E4"/>
    <w:rsid w:val="006B50AC"/>
    <w:rsid w:val="006B5401"/>
    <w:rsid w:val="006B5717"/>
    <w:rsid w:val="006B582F"/>
    <w:rsid w:val="006B6460"/>
    <w:rsid w:val="006B6F6E"/>
    <w:rsid w:val="006C0A86"/>
    <w:rsid w:val="006C0CEB"/>
    <w:rsid w:val="006C0D96"/>
    <w:rsid w:val="006C2247"/>
    <w:rsid w:val="006C25E5"/>
    <w:rsid w:val="006C2F18"/>
    <w:rsid w:val="006C3A84"/>
    <w:rsid w:val="006C3B1E"/>
    <w:rsid w:val="006C4303"/>
    <w:rsid w:val="006C44EA"/>
    <w:rsid w:val="006C47FD"/>
    <w:rsid w:val="006C5C19"/>
    <w:rsid w:val="006C70A0"/>
    <w:rsid w:val="006C7AC1"/>
    <w:rsid w:val="006C7D36"/>
    <w:rsid w:val="006C7F26"/>
    <w:rsid w:val="006D06A5"/>
    <w:rsid w:val="006D0B5D"/>
    <w:rsid w:val="006D0ED7"/>
    <w:rsid w:val="006D1162"/>
    <w:rsid w:val="006D18E9"/>
    <w:rsid w:val="006D1943"/>
    <w:rsid w:val="006D1E6A"/>
    <w:rsid w:val="006D2370"/>
    <w:rsid w:val="006D274E"/>
    <w:rsid w:val="006D27CB"/>
    <w:rsid w:val="006D2F08"/>
    <w:rsid w:val="006D32FD"/>
    <w:rsid w:val="006D4871"/>
    <w:rsid w:val="006D4CE8"/>
    <w:rsid w:val="006D5321"/>
    <w:rsid w:val="006D576C"/>
    <w:rsid w:val="006D5865"/>
    <w:rsid w:val="006D5D04"/>
    <w:rsid w:val="006D64BD"/>
    <w:rsid w:val="006D6657"/>
    <w:rsid w:val="006D718C"/>
    <w:rsid w:val="006D72FA"/>
    <w:rsid w:val="006D7A3D"/>
    <w:rsid w:val="006D7FCE"/>
    <w:rsid w:val="006E113A"/>
    <w:rsid w:val="006E1486"/>
    <w:rsid w:val="006E190F"/>
    <w:rsid w:val="006E224B"/>
    <w:rsid w:val="006E447B"/>
    <w:rsid w:val="006E4918"/>
    <w:rsid w:val="006E4B1B"/>
    <w:rsid w:val="006E4BE6"/>
    <w:rsid w:val="006E4D43"/>
    <w:rsid w:val="006E5115"/>
    <w:rsid w:val="006E520F"/>
    <w:rsid w:val="006E5445"/>
    <w:rsid w:val="006E61C3"/>
    <w:rsid w:val="006E63FE"/>
    <w:rsid w:val="006E6586"/>
    <w:rsid w:val="006E6FB1"/>
    <w:rsid w:val="006E7B70"/>
    <w:rsid w:val="006E7D93"/>
    <w:rsid w:val="006F0584"/>
    <w:rsid w:val="006F149D"/>
    <w:rsid w:val="006F1CB1"/>
    <w:rsid w:val="006F2B02"/>
    <w:rsid w:val="006F2EE1"/>
    <w:rsid w:val="006F3F88"/>
    <w:rsid w:val="006F43A3"/>
    <w:rsid w:val="006F542F"/>
    <w:rsid w:val="006F799C"/>
    <w:rsid w:val="006F7E0C"/>
    <w:rsid w:val="007013A2"/>
    <w:rsid w:val="007015A8"/>
    <w:rsid w:val="00701676"/>
    <w:rsid w:val="007016FF"/>
    <w:rsid w:val="0070191A"/>
    <w:rsid w:val="0070256F"/>
    <w:rsid w:val="007029A3"/>
    <w:rsid w:val="00704992"/>
    <w:rsid w:val="00704CB6"/>
    <w:rsid w:val="00704E91"/>
    <w:rsid w:val="00704F39"/>
    <w:rsid w:val="007054DB"/>
    <w:rsid w:val="0070568B"/>
    <w:rsid w:val="00705D55"/>
    <w:rsid w:val="00706E4E"/>
    <w:rsid w:val="00707413"/>
    <w:rsid w:val="0070791C"/>
    <w:rsid w:val="00707D94"/>
    <w:rsid w:val="00710244"/>
    <w:rsid w:val="007103D3"/>
    <w:rsid w:val="0071080F"/>
    <w:rsid w:val="00710B9D"/>
    <w:rsid w:val="00711139"/>
    <w:rsid w:val="007115F4"/>
    <w:rsid w:val="0071176C"/>
    <w:rsid w:val="00712B57"/>
    <w:rsid w:val="00712F74"/>
    <w:rsid w:val="007132A4"/>
    <w:rsid w:val="0071372D"/>
    <w:rsid w:val="0071383C"/>
    <w:rsid w:val="007141A7"/>
    <w:rsid w:val="0071499E"/>
    <w:rsid w:val="00715722"/>
    <w:rsid w:val="00715BB9"/>
    <w:rsid w:val="00716EBD"/>
    <w:rsid w:val="0071796B"/>
    <w:rsid w:val="00717DDD"/>
    <w:rsid w:val="00721032"/>
    <w:rsid w:val="0072144A"/>
    <w:rsid w:val="00721B55"/>
    <w:rsid w:val="00721FB7"/>
    <w:rsid w:val="00722618"/>
    <w:rsid w:val="0072262E"/>
    <w:rsid w:val="007229D3"/>
    <w:rsid w:val="00722CA9"/>
    <w:rsid w:val="00723FFE"/>
    <w:rsid w:val="00724119"/>
    <w:rsid w:val="007244B2"/>
    <w:rsid w:val="007246E7"/>
    <w:rsid w:val="0072518B"/>
    <w:rsid w:val="007251F1"/>
    <w:rsid w:val="00725322"/>
    <w:rsid w:val="007261F6"/>
    <w:rsid w:val="007269E8"/>
    <w:rsid w:val="00726CE4"/>
    <w:rsid w:val="0072754E"/>
    <w:rsid w:val="00727699"/>
    <w:rsid w:val="00727C16"/>
    <w:rsid w:val="00727DD8"/>
    <w:rsid w:val="00730994"/>
    <w:rsid w:val="00730A1C"/>
    <w:rsid w:val="00730E6E"/>
    <w:rsid w:val="00731991"/>
    <w:rsid w:val="00731E1C"/>
    <w:rsid w:val="00732438"/>
    <w:rsid w:val="00732A3E"/>
    <w:rsid w:val="00734143"/>
    <w:rsid w:val="007342CC"/>
    <w:rsid w:val="007344C4"/>
    <w:rsid w:val="00734EF8"/>
    <w:rsid w:val="007351C3"/>
    <w:rsid w:val="007355D4"/>
    <w:rsid w:val="00735E3C"/>
    <w:rsid w:val="007365BD"/>
    <w:rsid w:val="00736757"/>
    <w:rsid w:val="00737694"/>
    <w:rsid w:val="00737E47"/>
    <w:rsid w:val="007404E8"/>
    <w:rsid w:val="00740EAC"/>
    <w:rsid w:val="00741C2B"/>
    <w:rsid w:val="00742870"/>
    <w:rsid w:val="00742CF1"/>
    <w:rsid w:val="00742F3E"/>
    <w:rsid w:val="00744418"/>
    <w:rsid w:val="00744956"/>
    <w:rsid w:val="00744A5E"/>
    <w:rsid w:val="00744F18"/>
    <w:rsid w:val="00745A5C"/>
    <w:rsid w:val="00745A90"/>
    <w:rsid w:val="0074605F"/>
    <w:rsid w:val="00746463"/>
    <w:rsid w:val="007467F0"/>
    <w:rsid w:val="00746F0C"/>
    <w:rsid w:val="00747BD8"/>
    <w:rsid w:val="00747E94"/>
    <w:rsid w:val="00750502"/>
    <w:rsid w:val="00750F05"/>
    <w:rsid w:val="00751602"/>
    <w:rsid w:val="00751AEC"/>
    <w:rsid w:val="00751E5B"/>
    <w:rsid w:val="0075215F"/>
    <w:rsid w:val="0075253B"/>
    <w:rsid w:val="007525E8"/>
    <w:rsid w:val="0075276B"/>
    <w:rsid w:val="007527BE"/>
    <w:rsid w:val="00752857"/>
    <w:rsid w:val="0075302B"/>
    <w:rsid w:val="007538FB"/>
    <w:rsid w:val="00753E8C"/>
    <w:rsid w:val="00754C83"/>
    <w:rsid w:val="0075534E"/>
    <w:rsid w:val="00756048"/>
    <w:rsid w:val="0075627F"/>
    <w:rsid w:val="00756566"/>
    <w:rsid w:val="007567E5"/>
    <w:rsid w:val="0075730F"/>
    <w:rsid w:val="00760066"/>
    <w:rsid w:val="00760440"/>
    <w:rsid w:val="00763477"/>
    <w:rsid w:val="007641B3"/>
    <w:rsid w:val="00764684"/>
    <w:rsid w:val="007652CF"/>
    <w:rsid w:val="00765BF1"/>
    <w:rsid w:val="00765C17"/>
    <w:rsid w:val="00765DF8"/>
    <w:rsid w:val="00765F2B"/>
    <w:rsid w:val="00766243"/>
    <w:rsid w:val="00766749"/>
    <w:rsid w:val="00766D28"/>
    <w:rsid w:val="007678D0"/>
    <w:rsid w:val="00767C1B"/>
    <w:rsid w:val="00767CEE"/>
    <w:rsid w:val="00767DF9"/>
    <w:rsid w:val="007714A9"/>
    <w:rsid w:val="00771F76"/>
    <w:rsid w:val="00772021"/>
    <w:rsid w:val="0077221D"/>
    <w:rsid w:val="00772E93"/>
    <w:rsid w:val="00774BB2"/>
    <w:rsid w:val="00774F88"/>
    <w:rsid w:val="00774FDB"/>
    <w:rsid w:val="0077533E"/>
    <w:rsid w:val="0077559E"/>
    <w:rsid w:val="00776862"/>
    <w:rsid w:val="00776AB0"/>
    <w:rsid w:val="007777FF"/>
    <w:rsid w:val="00777BA2"/>
    <w:rsid w:val="00780282"/>
    <w:rsid w:val="00780AA5"/>
    <w:rsid w:val="00781408"/>
    <w:rsid w:val="0078141C"/>
    <w:rsid w:val="00781BEF"/>
    <w:rsid w:val="00782EFC"/>
    <w:rsid w:val="00783131"/>
    <w:rsid w:val="007834C7"/>
    <w:rsid w:val="007835D5"/>
    <w:rsid w:val="007846E9"/>
    <w:rsid w:val="00784F7F"/>
    <w:rsid w:val="0078544D"/>
    <w:rsid w:val="00785757"/>
    <w:rsid w:val="00785935"/>
    <w:rsid w:val="00785F7B"/>
    <w:rsid w:val="00786A4A"/>
    <w:rsid w:val="007878BD"/>
    <w:rsid w:val="0079118B"/>
    <w:rsid w:val="007916F4"/>
    <w:rsid w:val="00791838"/>
    <w:rsid w:val="007921CB"/>
    <w:rsid w:val="00793A9D"/>
    <w:rsid w:val="00793DFD"/>
    <w:rsid w:val="0079442E"/>
    <w:rsid w:val="00794490"/>
    <w:rsid w:val="007944CA"/>
    <w:rsid w:val="00795A19"/>
    <w:rsid w:val="007961C4"/>
    <w:rsid w:val="00796C4C"/>
    <w:rsid w:val="00796F25"/>
    <w:rsid w:val="00797676"/>
    <w:rsid w:val="007A1074"/>
    <w:rsid w:val="007A1856"/>
    <w:rsid w:val="007A2098"/>
    <w:rsid w:val="007A2ADC"/>
    <w:rsid w:val="007A2E98"/>
    <w:rsid w:val="007A3263"/>
    <w:rsid w:val="007A3BA3"/>
    <w:rsid w:val="007A4188"/>
    <w:rsid w:val="007A4F06"/>
    <w:rsid w:val="007A516D"/>
    <w:rsid w:val="007A52DC"/>
    <w:rsid w:val="007A55F0"/>
    <w:rsid w:val="007A591B"/>
    <w:rsid w:val="007A6CC0"/>
    <w:rsid w:val="007A6E64"/>
    <w:rsid w:val="007A78A6"/>
    <w:rsid w:val="007A7B25"/>
    <w:rsid w:val="007A7B2A"/>
    <w:rsid w:val="007A7FEC"/>
    <w:rsid w:val="007B036D"/>
    <w:rsid w:val="007B0700"/>
    <w:rsid w:val="007B0928"/>
    <w:rsid w:val="007B0B47"/>
    <w:rsid w:val="007B1499"/>
    <w:rsid w:val="007B1BBF"/>
    <w:rsid w:val="007B1BE0"/>
    <w:rsid w:val="007B1F1B"/>
    <w:rsid w:val="007B2960"/>
    <w:rsid w:val="007B2D5A"/>
    <w:rsid w:val="007B2F4F"/>
    <w:rsid w:val="007B300B"/>
    <w:rsid w:val="007B355D"/>
    <w:rsid w:val="007B38D6"/>
    <w:rsid w:val="007B3992"/>
    <w:rsid w:val="007B3BC2"/>
    <w:rsid w:val="007B4644"/>
    <w:rsid w:val="007B49F7"/>
    <w:rsid w:val="007B6E82"/>
    <w:rsid w:val="007B6FDC"/>
    <w:rsid w:val="007B788C"/>
    <w:rsid w:val="007B792C"/>
    <w:rsid w:val="007B7980"/>
    <w:rsid w:val="007B79CC"/>
    <w:rsid w:val="007C0715"/>
    <w:rsid w:val="007C0DEF"/>
    <w:rsid w:val="007C1AD3"/>
    <w:rsid w:val="007C297B"/>
    <w:rsid w:val="007C4C45"/>
    <w:rsid w:val="007C528A"/>
    <w:rsid w:val="007C56B6"/>
    <w:rsid w:val="007C58F2"/>
    <w:rsid w:val="007C5D5A"/>
    <w:rsid w:val="007C607F"/>
    <w:rsid w:val="007C633E"/>
    <w:rsid w:val="007C7777"/>
    <w:rsid w:val="007C77FF"/>
    <w:rsid w:val="007C79DD"/>
    <w:rsid w:val="007C7D28"/>
    <w:rsid w:val="007D0DFE"/>
    <w:rsid w:val="007D12F2"/>
    <w:rsid w:val="007D1A97"/>
    <w:rsid w:val="007D243C"/>
    <w:rsid w:val="007D26B6"/>
    <w:rsid w:val="007D2800"/>
    <w:rsid w:val="007D2CD4"/>
    <w:rsid w:val="007D2CD6"/>
    <w:rsid w:val="007D3063"/>
    <w:rsid w:val="007D381B"/>
    <w:rsid w:val="007D3CEB"/>
    <w:rsid w:val="007D47D9"/>
    <w:rsid w:val="007D47F8"/>
    <w:rsid w:val="007D4950"/>
    <w:rsid w:val="007D4AC7"/>
    <w:rsid w:val="007D4DAC"/>
    <w:rsid w:val="007D5765"/>
    <w:rsid w:val="007D57F6"/>
    <w:rsid w:val="007D5F3E"/>
    <w:rsid w:val="007D6822"/>
    <w:rsid w:val="007D68B7"/>
    <w:rsid w:val="007D7B0F"/>
    <w:rsid w:val="007D7C29"/>
    <w:rsid w:val="007E06EA"/>
    <w:rsid w:val="007E0F6C"/>
    <w:rsid w:val="007E12C2"/>
    <w:rsid w:val="007E12CE"/>
    <w:rsid w:val="007E2F91"/>
    <w:rsid w:val="007E38A4"/>
    <w:rsid w:val="007E43E1"/>
    <w:rsid w:val="007E55F4"/>
    <w:rsid w:val="007E6189"/>
    <w:rsid w:val="007E65C0"/>
    <w:rsid w:val="007E6806"/>
    <w:rsid w:val="007E6B17"/>
    <w:rsid w:val="007E7092"/>
    <w:rsid w:val="007E7683"/>
    <w:rsid w:val="007F1132"/>
    <w:rsid w:val="007F1A09"/>
    <w:rsid w:val="007F1E93"/>
    <w:rsid w:val="007F3368"/>
    <w:rsid w:val="007F3405"/>
    <w:rsid w:val="007F42FF"/>
    <w:rsid w:val="007F450D"/>
    <w:rsid w:val="007F49FA"/>
    <w:rsid w:val="007F4F3F"/>
    <w:rsid w:val="007F54C4"/>
    <w:rsid w:val="007F5539"/>
    <w:rsid w:val="007F5823"/>
    <w:rsid w:val="007F5DB8"/>
    <w:rsid w:val="007F5F84"/>
    <w:rsid w:val="007F63F9"/>
    <w:rsid w:val="007F6E9A"/>
    <w:rsid w:val="007F70EB"/>
    <w:rsid w:val="007F750B"/>
    <w:rsid w:val="007F799A"/>
    <w:rsid w:val="008023C1"/>
    <w:rsid w:val="00802497"/>
    <w:rsid w:val="00802DC1"/>
    <w:rsid w:val="00803392"/>
    <w:rsid w:val="0080400A"/>
    <w:rsid w:val="008041DB"/>
    <w:rsid w:val="008044B0"/>
    <w:rsid w:val="008044D4"/>
    <w:rsid w:val="00804B67"/>
    <w:rsid w:val="00804C21"/>
    <w:rsid w:val="00804DA8"/>
    <w:rsid w:val="00806B2F"/>
    <w:rsid w:val="00807059"/>
    <w:rsid w:val="00807B75"/>
    <w:rsid w:val="00807DE2"/>
    <w:rsid w:val="00807ED2"/>
    <w:rsid w:val="00810AB4"/>
    <w:rsid w:val="00810CDA"/>
    <w:rsid w:val="008121E9"/>
    <w:rsid w:val="00812CB3"/>
    <w:rsid w:val="00813712"/>
    <w:rsid w:val="00813DA8"/>
    <w:rsid w:val="0081444A"/>
    <w:rsid w:val="00814B62"/>
    <w:rsid w:val="00814CF1"/>
    <w:rsid w:val="00814D40"/>
    <w:rsid w:val="00814D4D"/>
    <w:rsid w:val="00814DA0"/>
    <w:rsid w:val="00815878"/>
    <w:rsid w:val="00815CD2"/>
    <w:rsid w:val="008161DE"/>
    <w:rsid w:val="00817176"/>
    <w:rsid w:val="008171A2"/>
    <w:rsid w:val="0081737B"/>
    <w:rsid w:val="00817862"/>
    <w:rsid w:val="00817B56"/>
    <w:rsid w:val="00817DB8"/>
    <w:rsid w:val="00820B1D"/>
    <w:rsid w:val="00820EA0"/>
    <w:rsid w:val="00821A88"/>
    <w:rsid w:val="00822330"/>
    <w:rsid w:val="00822711"/>
    <w:rsid w:val="00822830"/>
    <w:rsid w:val="008233A7"/>
    <w:rsid w:val="008234B1"/>
    <w:rsid w:val="008239E7"/>
    <w:rsid w:val="00823AF4"/>
    <w:rsid w:val="00823C1E"/>
    <w:rsid w:val="00824291"/>
    <w:rsid w:val="0082440C"/>
    <w:rsid w:val="00824744"/>
    <w:rsid w:val="0082495D"/>
    <w:rsid w:val="00825C69"/>
    <w:rsid w:val="00825F8D"/>
    <w:rsid w:val="00825FA5"/>
    <w:rsid w:val="00826B12"/>
    <w:rsid w:val="008271C5"/>
    <w:rsid w:val="00827CCE"/>
    <w:rsid w:val="008300DC"/>
    <w:rsid w:val="00830C1C"/>
    <w:rsid w:val="00831AC3"/>
    <w:rsid w:val="008327B5"/>
    <w:rsid w:val="00832CC8"/>
    <w:rsid w:val="008333F6"/>
    <w:rsid w:val="0083362E"/>
    <w:rsid w:val="008343CD"/>
    <w:rsid w:val="008350AA"/>
    <w:rsid w:val="00835321"/>
    <w:rsid w:val="008357C1"/>
    <w:rsid w:val="0083582F"/>
    <w:rsid w:val="00835E98"/>
    <w:rsid w:val="008360E3"/>
    <w:rsid w:val="0083614A"/>
    <w:rsid w:val="00836444"/>
    <w:rsid w:val="00836BD4"/>
    <w:rsid w:val="008370E8"/>
    <w:rsid w:val="008371CC"/>
    <w:rsid w:val="008408FF"/>
    <w:rsid w:val="00840966"/>
    <w:rsid w:val="00840A6D"/>
    <w:rsid w:val="0084138C"/>
    <w:rsid w:val="00841827"/>
    <w:rsid w:val="00841EE3"/>
    <w:rsid w:val="0084259A"/>
    <w:rsid w:val="00842CA1"/>
    <w:rsid w:val="00843C96"/>
    <w:rsid w:val="008441D8"/>
    <w:rsid w:val="008444F6"/>
    <w:rsid w:val="008445FB"/>
    <w:rsid w:val="00844848"/>
    <w:rsid w:val="00844869"/>
    <w:rsid w:val="00844FAD"/>
    <w:rsid w:val="0084523B"/>
    <w:rsid w:val="00845ABE"/>
    <w:rsid w:val="008460FB"/>
    <w:rsid w:val="008464F0"/>
    <w:rsid w:val="00846B14"/>
    <w:rsid w:val="0084784C"/>
    <w:rsid w:val="008478B4"/>
    <w:rsid w:val="00847DCA"/>
    <w:rsid w:val="008504DB"/>
    <w:rsid w:val="008506FD"/>
    <w:rsid w:val="00851F3F"/>
    <w:rsid w:val="00852665"/>
    <w:rsid w:val="00852E08"/>
    <w:rsid w:val="0085303F"/>
    <w:rsid w:val="00854677"/>
    <w:rsid w:val="0085542A"/>
    <w:rsid w:val="00855E0A"/>
    <w:rsid w:val="00856A0D"/>
    <w:rsid w:val="00856EDC"/>
    <w:rsid w:val="008579AB"/>
    <w:rsid w:val="008600BF"/>
    <w:rsid w:val="008602F8"/>
    <w:rsid w:val="008606C8"/>
    <w:rsid w:val="00860AE2"/>
    <w:rsid w:val="00860DF2"/>
    <w:rsid w:val="00860E95"/>
    <w:rsid w:val="00860F70"/>
    <w:rsid w:val="008610D7"/>
    <w:rsid w:val="008616F7"/>
    <w:rsid w:val="008623B5"/>
    <w:rsid w:val="00862758"/>
    <w:rsid w:val="00862B6F"/>
    <w:rsid w:val="00863342"/>
    <w:rsid w:val="0086351E"/>
    <w:rsid w:val="00863E31"/>
    <w:rsid w:val="00863F47"/>
    <w:rsid w:val="008641A5"/>
    <w:rsid w:val="00864CAA"/>
    <w:rsid w:val="00864FEF"/>
    <w:rsid w:val="00865143"/>
    <w:rsid w:val="00865494"/>
    <w:rsid w:val="00866D3B"/>
    <w:rsid w:val="0086702B"/>
    <w:rsid w:val="00867EE8"/>
    <w:rsid w:val="00870ABA"/>
    <w:rsid w:val="00870E53"/>
    <w:rsid w:val="00870F63"/>
    <w:rsid w:val="0087107B"/>
    <w:rsid w:val="008710E1"/>
    <w:rsid w:val="008716E5"/>
    <w:rsid w:val="00872AFA"/>
    <w:rsid w:val="00873BC3"/>
    <w:rsid w:val="008749FA"/>
    <w:rsid w:val="00874FEB"/>
    <w:rsid w:val="00875861"/>
    <w:rsid w:val="00875AEB"/>
    <w:rsid w:val="008765F6"/>
    <w:rsid w:val="008775B2"/>
    <w:rsid w:val="00877807"/>
    <w:rsid w:val="008778A6"/>
    <w:rsid w:val="00877A7D"/>
    <w:rsid w:val="00877FF2"/>
    <w:rsid w:val="00880204"/>
    <w:rsid w:val="00880248"/>
    <w:rsid w:val="008818A6"/>
    <w:rsid w:val="00881CA9"/>
    <w:rsid w:val="008823DA"/>
    <w:rsid w:val="00882E17"/>
    <w:rsid w:val="00883511"/>
    <w:rsid w:val="00883628"/>
    <w:rsid w:val="00883B95"/>
    <w:rsid w:val="0088444E"/>
    <w:rsid w:val="00884DF1"/>
    <w:rsid w:val="00885544"/>
    <w:rsid w:val="00886039"/>
    <w:rsid w:val="008862A9"/>
    <w:rsid w:val="0088634E"/>
    <w:rsid w:val="008863B6"/>
    <w:rsid w:val="008867A7"/>
    <w:rsid w:val="00887717"/>
    <w:rsid w:val="00887B0F"/>
    <w:rsid w:val="00887C01"/>
    <w:rsid w:val="00887EB0"/>
    <w:rsid w:val="00890AD1"/>
    <w:rsid w:val="00890D09"/>
    <w:rsid w:val="00890D6F"/>
    <w:rsid w:val="00890F31"/>
    <w:rsid w:val="008911CF"/>
    <w:rsid w:val="00891392"/>
    <w:rsid w:val="00893AB8"/>
    <w:rsid w:val="00894D74"/>
    <w:rsid w:val="008964D6"/>
    <w:rsid w:val="00896BAC"/>
    <w:rsid w:val="00896CB6"/>
    <w:rsid w:val="0089706B"/>
    <w:rsid w:val="008A04C8"/>
    <w:rsid w:val="008A1527"/>
    <w:rsid w:val="008A199D"/>
    <w:rsid w:val="008A1A2A"/>
    <w:rsid w:val="008A1D3E"/>
    <w:rsid w:val="008A1FCC"/>
    <w:rsid w:val="008A2387"/>
    <w:rsid w:val="008A2740"/>
    <w:rsid w:val="008A29E2"/>
    <w:rsid w:val="008A36DA"/>
    <w:rsid w:val="008A3C75"/>
    <w:rsid w:val="008A3F77"/>
    <w:rsid w:val="008A40B1"/>
    <w:rsid w:val="008A508A"/>
    <w:rsid w:val="008A6913"/>
    <w:rsid w:val="008A6F3D"/>
    <w:rsid w:val="008A7B76"/>
    <w:rsid w:val="008A7D92"/>
    <w:rsid w:val="008B0279"/>
    <w:rsid w:val="008B0328"/>
    <w:rsid w:val="008B03FE"/>
    <w:rsid w:val="008B12DF"/>
    <w:rsid w:val="008B1F99"/>
    <w:rsid w:val="008B1FCC"/>
    <w:rsid w:val="008B22C5"/>
    <w:rsid w:val="008B257B"/>
    <w:rsid w:val="008B28B0"/>
    <w:rsid w:val="008B2B2F"/>
    <w:rsid w:val="008B3020"/>
    <w:rsid w:val="008B3773"/>
    <w:rsid w:val="008B3780"/>
    <w:rsid w:val="008B4A81"/>
    <w:rsid w:val="008B500B"/>
    <w:rsid w:val="008B5136"/>
    <w:rsid w:val="008B5BF8"/>
    <w:rsid w:val="008B6ECD"/>
    <w:rsid w:val="008B6F4A"/>
    <w:rsid w:val="008B70F3"/>
    <w:rsid w:val="008B71C4"/>
    <w:rsid w:val="008B76DF"/>
    <w:rsid w:val="008B78D9"/>
    <w:rsid w:val="008C0086"/>
    <w:rsid w:val="008C0F1F"/>
    <w:rsid w:val="008C10F4"/>
    <w:rsid w:val="008C20BC"/>
    <w:rsid w:val="008C2207"/>
    <w:rsid w:val="008C29CE"/>
    <w:rsid w:val="008C3C62"/>
    <w:rsid w:val="008C4219"/>
    <w:rsid w:val="008C61B7"/>
    <w:rsid w:val="008C65F7"/>
    <w:rsid w:val="008C6FCE"/>
    <w:rsid w:val="008C731A"/>
    <w:rsid w:val="008C74A4"/>
    <w:rsid w:val="008C752F"/>
    <w:rsid w:val="008C76B5"/>
    <w:rsid w:val="008C7725"/>
    <w:rsid w:val="008C7C77"/>
    <w:rsid w:val="008C7ECA"/>
    <w:rsid w:val="008D0C09"/>
    <w:rsid w:val="008D0C2F"/>
    <w:rsid w:val="008D14A9"/>
    <w:rsid w:val="008D15BC"/>
    <w:rsid w:val="008D1B09"/>
    <w:rsid w:val="008D1CD6"/>
    <w:rsid w:val="008D21FC"/>
    <w:rsid w:val="008D2306"/>
    <w:rsid w:val="008D2883"/>
    <w:rsid w:val="008D2ECB"/>
    <w:rsid w:val="008D2F9F"/>
    <w:rsid w:val="008D5491"/>
    <w:rsid w:val="008D58AC"/>
    <w:rsid w:val="008D596D"/>
    <w:rsid w:val="008D65A3"/>
    <w:rsid w:val="008D6620"/>
    <w:rsid w:val="008D664E"/>
    <w:rsid w:val="008D6A3E"/>
    <w:rsid w:val="008D7241"/>
    <w:rsid w:val="008D78B9"/>
    <w:rsid w:val="008E072E"/>
    <w:rsid w:val="008E0D94"/>
    <w:rsid w:val="008E2269"/>
    <w:rsid w:val="008E4767"/>
    <w:rsid w:val="008E62B5"/>
    <w:rsid w:val="008E6D05"/>
    <w:rsid w:val="008E7142"/>
    <w:rsid w:val="008E77B0"/>
    <w:rsid w:val="008E7A8C"/>
    <w:rsid w:val="008E7F61"/>
    <w:rsid w:val="008F0D2F"/>
    <w:rsid w:val="008F1416"/>
    <w:rsid w:val="008F1D98"/>
    <w:rsid w:val="008F2A30"/>
    <w:rsid w:val="008F2CBC"/>
    <w:rsid w:val="008F43EF"/>
    <w:rsid w:val="008F44F6"/>
    <w:rsid w:val="008F512F"/>
    <w:rsid w:val="008F571A"/>
    <w:rsid w:val="008F6D6E"/>
    <w:rsid w:val="008F7E77"/>
    <w:rsid w:val="00901C9D"/>
    <w:rsid w:val="00903166"/>
    <w:rsid w:val="00903285"/>
    <w:rsid w:val="009034B0"/>
    <w:rsid w:val="00903CE5"/>
    <w:rsid w:val="00904191"/>
    <w:rsid w:val="009043F0"/>
    <w:rsid w:val="0090492F"/>
    <w:rsid w:val="0090505F"/>
    <w:rsid w:val="00905CBE"/>
    <w:rsid w:val="00906F40"/>
    <w:rsid w:val="0090731E"/>
    <w:rsid w:val="009076CC"/>
    <w:rsid w:val="009116B7"/>
    <w:rsid w:val="00911DA3"/>
    <w:rsid w:val="009127C7"/>
    <w:rsid w:val="00912CC4"/>
    <w:rsid w:val="00912F9C"/>
    <w:rsid w:val="00913DC4"/>
    <w:rsid w:val="00913F55"/>
    <w:rsid w:val="00914114"/>
    <w:rsid w:val="00914AC2"/>
    <w:rsid w:val="00915A32"/>
    <w:rsid w:val="00915B1C"/>
    <w:rsid w:val="009162DA"/>
    <w:rsid w:val="009171B9"/>
    <w:rsid w:val="009174F3"/>
    <w:rsid w:val="0091797D"/>
    <w:rsid w:val="00921A28"/>
    <w:rsid w:val="00922434"/>
    <w:rsid w:val="009227D4"/>
    <w:rsid w:val="009228EF"/>
    <w:rsid w:val="00922B08"/>
    <w:rsid w:val="00922BC2"/>
    <w:rsid w:val="00923CBA"/>
    <w:rsid w:val="00924CC4"/>
    <w:rsid w:val="00924DDE"/>
    <w:rsid w:val="009255AB"/>
    <w:rsid w:val="00925884"/>
    <w:rsid w:val="00925F16"/>
    <w:rsid w:val="00925F78"/>
    <w:rsid w:val="00926339"/>
    <w:rsid w:val="009263D1"/>
    <w:rsid w:val="00926565"/>
    <w:rsid w:val="00926581"/>
    <w:rsid w:val="00926703"/>
    <w:rsid w:val="0092692C"/>
    <w:rsid w:val="0092762A"/>
    <w:rsid w:val="00927691"/>
    <w:rsid w:val="0092792D"/>
    <w:rsid w:val="00927A5F"/>
    <w:rsid w:val="0093015F"/>
    <w:rsid w:val="009305E4"/>
    <w:rsid w:val="009316F9"/>
    <w:rsid w:val="00932575"/>
    <w:rsid w:val="0093285F"/>
    <w:rsid w:val="009337DA"/>
    <w:rsid w:val="0093483E"/>
    <w:rsid w:val="00934D96"/>
    <w:rsid w:val="009352F7"/>
    <w:rsid w:val="00935B63"/>
    <w:rsid w:val="00935E4D"/>
    <w:rsid w:val="009361C2"/>
    <w:rsid w:val="00937D6F"/>
    <w:rsid w:val="0094078F"/>
    <w:rsid w:val="00940D6C"/>
    <w:rsid w:val="00940FA3"/>
    <w:rsid w:val="0094186B"/>
    <w:rsid w:val="00941FB0"/>
    <w:rsid w:val="009425F5"/>
    <w:rsid w:val="00942667"/>
    <w:rsid w:val="009426D4"/>
    <w:rsid w:val="0094288A"/>
    <w:rsid w:val="00943890"/>
    <w:rsid w:val="00943C4E"/>
    <w:rsid w:val="00943E03"/>
    <w:rsid w:val="0094426F"/>
    <w:rsid w:val="00944F0F"/>
    <w:rsid w:val="00944FEE"/>
    <w:rsid w:val="00945637"/>
    <w:rsid w:val="00945686"/>
    <w:rsid w:val="00945C4F"/>
    <w:rsid w:val="00945D0C"/>
    <w:rsid w:val="009465F5"/>
    <w:rsid w:val="0094669F"/>
    <w:rsid w:val="0094696C"/>
    <w:rsid w:val="00946A6B"/>
    <w:rsid w:val="00947319"/>
    <w:rsid w:val="00947754"/>
    <w:rsid w:val="00947A8E"/>
    <w:rsid w:val="00947E20"/>
    <w:rsid w:val="00947F25"/>
    <w:rsid w:val="00947F88"/>
    <w:rsid w:val="00950159"/>
    <w:rsid w:val="009506D3"/>
    <w:rsid w:val="009509EF"/>
    <w:rsid w:val="00950ACD"/>
    <w:rsid w:val="00951B3B"/>
    <w:rsid w:val="0095317E"/>
    <w:rsid w:val="00953BB8"/>
    <w:rsid w:val="009542FF"/>
    <w:rsid w:val="00954362"/>
    <w:rsid w:val="009543F7"/>
    <w:rsid w:val="0095465F"/>
    <w:rsid w:val="00954847"/>
    <w:rsid w:val="0095490B"/>
    <w:rsid w:val="00954969"/>
    <w:rsid w:val="0095594D"/>
    <w:rsid w:val="0095686A"/>
    <w:rsid w:val="00956914"/>
    <w:rsid w:val="009570E7"/>
    <w:rsid w:val="00960667"/>
    <w:rsid w:val="00960783"/>
    <w:rsid w:val="00960A33"/>
    <w:rsid w:val="00960DF3"/>
    <w:rsid w:val="00960E40"/>
    <w:rsid w:val="009618D8"/>
    <w:rsid w:val="00961BC8"/>
    <w:rsid w:val="00962DF3"/>
    <w:rsid w:val="00964F02"/>
    <w:rsid w:val="009658BD"/>
    <w:rsid w:val="00966009"/>
    <w:rsid w:val="009667DB"/>
    <w:rsid w:val="00966B90"/>
    <w:rsid w:val="00967E70"/>
    <w:rsid w:val="009704FD"/>
    <w:rsid w:val="00971403"/>
    <w:rsid w:val="00971432"/>
    <w:rsid w:val="00971914"/>
    <w:rsid w:val="00972098"/>
    <w:rsid w:val="0097259E"/>
    <w:rsid w:val="00972721"/>
    <w:rsid w:val="0097320E"/>
    <w:rsid w:val="0097336E"/>
    <w:rsid w:val="00973B6F"/>
    <w:rsid w:val="00973F64"/>
    <w:rsid w:val="00974363"/>
    <w:rsid w:val="009745F7"/>
    <w:rsid w:val="0097464D"/>
    <w:rsid w:val="009759F5"/>
    <w:rsid w:val="00975A78"/>
    <w:rsid w:val="009761D7"/>
    <w:rsid w:val="00976F86"/>
    <w:rsid w:val="009776EC"/>
    <w:rsid w:val="00981898"/>
    <w:rsid w:val="00981B4A"/>
    <w:rsid w:val="00981F3A"/>
    <w:rsid w:val="0098204B"/>
    <w:rsid w:val="0098207E"/>
    <w:rsid w:val="00982C10"/>
    <w:rsid w:val="00983391"/>
    <w:rsid w:val="0098453B"/>
    <w:rsid w:val="009853BF"/>
    <w:rsid w:val="0098569B"/>
    <w:rsid w:val="00985FA1"/>
    <w:rsid w:val="00986CF2"/>
    <w:rsid w:val="00987648"/>
    <w:rsid w:val="00987995"/>
    <w:rsid w:val="00987B99"/>
    <w:rsid w:val="009909CD"/>
    <w:rsid w:val="00990BB9"/>
    <w:rsid w:val="0099123E"/>
    <w:rsid w:val="009914A7"/>
    <w:rsid w:val="00991742"/>
    <w:rsid w:val="00991C4F"/>
    <w:rsid w:val="00991CD9"/>
    <w:rsid w:val="00992750"/>
    <w:rsid w:val="00992F7E"/>
    <w:rsid w:val="00993DCA"/>
    <w:rsid w:val="00993F1D"/>
    <w:rsid w:val="00994722"/>
    <w:rsid w:val="0099545C"/>
    <w:rsid w:val="0099577C"/>
    <w:rsid w:val="00996912"/>
    <w:rsid w:val="009977B2"/>
    <w:rsid w:val="00997BF0"/>
    <w:rsid w:val="009A0C7E"/>
    <w:rsid w:val="009A117B"/>
    <w:rsid w:val="009A27C4"/>
    <w:rsid w:val="009A41EC"/>
    <w:rsid w:val="009A42F6"/>
    <w:rsid w:val="009A488C"/>
    <w:rsid w:val="009A499C"/>
    <w:rsid w:val="009A59A0"/>
    <w:rsid w:val="009A743D"/>
    <w:rsid w:val="009A7FC8"/>
    <w:rsid w:val="009A7FE9"/>
    <w:rsid w:val="009B0419"/>
    <w:rsid w:val="009B1481"/>
    <w:rsid w:val="009B17F9"/>
    <w:rsid w:val="009B1CDB"/>
    <w:rsid w:val="009B2601"/>
    <w:rsid w:val="009B3395"/>
    <w:rsid w:val="009B3B19"/>
    <w:rsid w:val="009B44A6"/>
    <w:rsid w:val="009B4E9E"/>
    <w:rsid w:val="009B539A"/>
    <w:rsid w:val="009B5F4A"/>
    <w:rsid w:val="009B6DFA"/>
    <w:rsid w:val="009B70AB"/>
    <w:rsid w:val="009B723E"/>
    <w:rsid w:val="009B7D14"/>
    <w:rsid w:val="009B7D58"/>
    <w:rsid w:val="009C0645"/>
    <w:rsid w:val="009C0AAF"/>
    <w:rsid w:val="009C0BE6"/>
    <w:rsid w:val="009C0EA1"/>
    <w:rsid w:val="009C11AA"/>
    <w:rsid w:val="009C1690"/>
    <w:rsid w:val="009C1F69"/>
    <w:rsid w:val="009C264A"/>
    <w:rsid w:val="009C2FFE"/>
    <w:rsid w:val="009C32EB"/>
    <w:rsid w:val="009C5A1C"/>
    <w:rsid w:val="009C60F1"/>
    <w:rsid w:val="009C6275"/>
    <w:rsid w:val="009C653D"/>
    <w:rsid w:val="009C6881"/>
    <w:rsid w:val="009C7446"/>
    <w:rsid w:val="009C7759"/>
    <w:rsid w:val="009C7876"/>
    <w:rsid w:val="009C78CE"/>
    <w:rsid w:val="009D0090"/>
    <w:rsid w:val="009D030A"/>
    <w:rsid w:val="009D043D"/>
    <w:rsid w:val="009D07C8"/>
    <w:rsid w:val="009D2DE8"/>
    <w:rsid w:val="009D3517"/>
    <w:rsid w:val="009D3A67"/>
    <w:rsid w:val="009D3B58"/>
    <w:rsid w:val="009D46AD"/>
    <w:rsid w:val="009D4FAA"/>
    <w:rsid w:val="009D526D"/>
    <w:rsid w:val="009D54DB"/>
    <w:rsid w:val="009D61B0"/>
    <w:rsid w:val="009D6A9B"/>
    <w:rsid w:val="009D6C71"/>
    <w:rsid w:val="009D7F3D"/>
    <w:rsid w:val="009E0577"/>
    <w:rsid w:val="009E0631"/>
    <w:rsid w:val="009E08B9"/>
    <w:rsid w:val="009E0CB3"/>
    <w:rsid w:val="009E0F3F"/>
    <w:rsid w:val="009E16D0"/>
    <w:rsid w:val="009E1B6F"/>
    <w:rsid w:val="009E2FED"/>
    <w:rsid w:val="009E3063"/>
    <w:rsid w:val="009E38FD"/>
    <w:rsid w:val="009E41C8"/>
    <w:rsid w:val="009E5037"/>
    <w:rsid w:val="009F0108"/>
    <w:rsid w:val="009F02BC"/>
    <w:rsid w:val="009F07F5"/>
    <w:rsid w:val="009F0A1B"/>
    <w:rsid w:val="009F0DB3"/>
    <w:rsid w:val="009F13D6"/>
    <w:rsid w:val="009F1571"/>
    <w:rsid w:val="009F15B3"/>
    <w:rsid w:val="009F1673"/>
    <w:rsid w:val="009F3174"/>
    <w:rsid w:val="009F419A"/>
    <w:rsid w:val="009F4C6B"/>
    <w:rsid w:val="009F572F"/>
    <w:rsid w:val="009F658E"/>
    <w:rsid w:val="009F78A8"/>
    <w:rsid w:val="00A000D0"/>
    <w:rsid w:val="00A0010E"/>
    <w:rsid w:val="00A0013F"/>
    <w:rsid w:val="00A00203"/>
    <w:rsid w:val="00A0073F"/>
    <w:rsid w:val="00A0082E"/>
    <w:rsid w:val="00A00930"/>
    <w:rsid w:val="00A00D1A"/>
    <w:rsid w:val="00A00E05"/>
    <w:rsid w:val="00A01611"/>
    <w:rsid w:val="00A01828"/>
    <w:rsid w:val="00A02017"/>
    <w:rsid w:val="00A02176"/>
    <w:rsid w:val="00A02AD6"/>
    <w:rsid w:val="00A0369A"/>
    <w:rsid w:val="00A03B91"/>
    <w:rsid w:val="00A045E5"/>
    <w:rsid w:val="00A04782"/>
    <w:rsid w:val="00A0514D"/>
    <w:rsid w:val="00A06649"/>
    <w:rsid w:val="00A066FC"/>
    <w:rsid w:val="00A068F5"/>
    <w:rsid w:val="00A06EF0"/>
    <w:rsid w:val="00A07096"/>
    <w:rsid w:val="00A0713E"/>
    <w:rsid w:val="00A07318"/>
    <w:rsid w:val="00A07743"/>
    <w:rsid w:val="00A07C39"/>
    <w:rsid w:val="00A106A7"/>
    <w:rsid w:val="00A106C6"/>
    <w:rsid w:val="00A11370"/>
    <w:rsid w:val="00A11D08"/>
    <w:rsid w:val="00A11FAB"/>
    <w:rsid w:val="00A13290"/>
    <w:rsid w:val="00A140B6"/>
    <w:rsid w:val="00A1557E"/>
    <w:rsid w:val="00A15C39"/>
    <w:rsid w:val="00A16104"/>
    <w:rsid w:val="00A161DE"/>
    <w:rsid w:val="00A16630"/>
    <w:rsid w:val="00A16FF9"/>
    <w:rsid w:val="00A1766B"/>
    <w:rsid w:val="00A176D4"/>
    <w:rsid w:val="00A17AAE"/>
    <w:rsid w:val="00A2003F"/>
    <w:rsid w:val="00A209E1"/>
    <w:rsid w:val="00A21435"/>
    <w:rsid w:val="00A21DD1"/>
    <w:rsid w:val="00A21F95"/>
    <w:rsid w:val="00A224CE"/>
    <w:rsid w:val="00A22522"/>
    <w:rsid w:val="00A22809"/>
    <w:rsid w:val="00A23A67"/>
    <w:rsid w:val="00A24446"/>
    <w:rsid w:val="00A24AFD"/>
    <w:rsid w:val="00A24F5C"/>
    <w:rsid w:val="00A25816"/>
    <w:rsid w:val="00A259CA"/>
    <w:rsid w:val="00A2631D"/>
    <w:rsid w:val="00A27742"/>
    <w:rsid w:val="00A277D5"/>
    <w:rsid w:val="00A27D30"/>
    <w:rsid w:val="00A30159"/>
    <w:rsid w:val="00A3090E"/>
    <w:rsid w:val="00A30CFC"/>
    <w:rsid w:val="00A312EF"/>
    <w:rsid w:val="00A31926"/>
    <w:rsid w:val="00A32DD7"/>
    <w:rsid w:val="00A32F96"/>
    <w:rsid w:val="00A33F90"/>
    <w:rsid w:val="00A341E4"/>
    <w:rsid w:val="00A3433F"/>
    <w:rsid w:val="00A3456F"/>
    <w:rsid w:val="00A35B03"/>
    <w:rsid w:val="00A36118"/>
    <w:rsid w:val="00A36272"/>
    <w:rsid w:val="00A37F49"/>
    <w:rsid w:val="00A403B2"/>
    <w:rsid w:val="00A407A1"/>
    <w:rsid w:val="00A40871"/>
    <w:rsid w:val="00A412AB"/>
    <w:rsid w:val="00A41307"/>
    <w:rsid w:val="00A4193E"/>
    <w:rsid w:val="00A41F11"/>
    <w:rsid w:val="00A41F77"/>
    <w:rsid w:val="00A42082"/>
    <w:rsid w:val="00A42544"/>
    <w:rsid w:val="00A42EE9"/>
    <w:rsid w:val="00A43223"/>
    <w:rsid w:val="00A43459"/>
    <w:rsid w:val="00A440E0"/>
    <w:rsid w:val="00A442EF"/>
    <w:rsid w:val="00A4569B"/>
    <w:rsid w:val="00A46ABC"/>
    <w:rsid w:val="00A46D09"/>
    <w:rsid w:val="00A47B4A"/>
    <w:rsid w:val="00A47CA1"/>
    <w:rsid w:val="00A50C01"/>
    <w:rsid w:val="00A50F3C"/>
    <w:rsid w:val="00A514D0"/>
    <w:rsid w:val="00A5154C"/>
    <w:rsid w:val="00A51948"/>
    <w:rsid w:val="00A51D1A"/>
    <w:rsid w:val="00A533DA"/>
    <w:rsid w:val="00A5418D"/>
    <w:rsid w:val="00A5474E"/>
    <w:rsid w:val="00A55071"/>
    <w:rsid w:val="00A564F0"/>
    <w:rsid w:val="00A566E0"/>
    <w:rsid w:val="00A5710E"/>
    <w:rsid w:val="00A57494"/>
    <w:rsid w:val="00A578BC"/>
    <w:rsid w:val="00A57DBC"/>
    <w:rsid w:val="00A6130D"/>
    <w:rsid w:val="00A61702"/>
    <w:rsid w:val="00A61888"/>
    <w:rsid w:val="00A61DC3"/>
    <w:rsid w:val="00A627EC"/>
    <w:rsid w:val="00A63F2A"/>
    <w:rsid w:val="00A64234"/>
    <w:rsid w:val="00A642AF"/>
    <w:rsid w:val="00A6444F"/>
    <w:rsid w:val="00A648DF"/>
    <w:rsid w:val="00A64A14"/>
    <w:rsid w:val="00A650FF"/>
    <w:rsid w:val="00A65C7B"/>
    <w:rsid w:val="00A65ED8"/>
    <w:rsid w:val="00A66631"/>
    <w:rsid w:val="00A66C3A"/>
    <w:rsid w:val="00A66F9E"/>
    <w:rsid w:val="00A66FFA"/>
    <w:rsid w:val="00A6709A"/>
    <w:rsid w:val="00A67202"/>
    <w:rsid w:val="00A674A0"/>
    <w:rsid w:val="00A67865"/>
    <w:rsid w:val="00A6797B"/>
    <w:rsid w:val="00A679F9"/>
    <w:rsid w:val="00A705DE"/>
    <w:rsid w:val="00A70ADF"/>
    <w:rsid w:val="00A7142C"/>
    <w:rsid w:val="00A71466"/>
    <w:rsid w:val="00A716B7"/>
    <w:rsid w:val="00A71B9E"/>
    <w:rsid w:val="00A724E7"/>
    <w:rsid w:val="00A72CCF"/>
    <w:rsid w:val="00A7326F"/>
    <w:rsid w:val="00A736D2"/>
    <w:rsid w:val="00A73B27"/>
    <w:rsid w:val="00A7403A"/>
    <w:rsid w:val="00A74AB4"/>
    <w:rsid w:val="00A74B5E"/>
    <w:rsid w:val="00A751F7"/>
    <w:rsid w:val="00A75AAF"/>
    <w:rsid w:val="00A76060"/>
    <w:rsid w:val="00A767B7"/>
    <w:rsid w:val="00A76A7A"/>
    <w:rsid w:val="00A770EF"/>
    <w:rsid w:val="00A801C0"/>
    <w:rsid w:val="00A804CD"/>
    <w:rsid w:val="00A805ED"/>
    <w:rsid w:val="00A808E3"/>
    <w:rsid w:val="00A8114F"/>
    <w:rsid w:val="00A817AC"/>
    <w:rsid w:val="00A81BED"/>
    <w:rsid w:val="00A81EC4"/>
    <w:rsid w:val="00A81FA7"/>
    <w:rsid w:val="00A82C91"/>
    <w:rsid w:val="00A82F70"/>
    <w:rsid w:val="00A84EFB"/>
    <w:rsid w:val="00A8617E"/>
    <w:rsid w:val="00A874CF"/>
    <w:rsid w:val="00A8766A"/>
    <w:rsid w:val="00A9043E"/>
    <w:rsid w:val="00A90818"/>
    <w:rsid w:val="00A9095D"/>
    <w:rsid w:val="00A90E9D"/>
    <w:rsid w:val="00A9171C"/>
    <w:rsid w:val="00A9185A"/>
    <w:rsid w:val="00A927C4"/>
    <w:rsid w:val="00A928C3"/>
    <w:rsid w:val="00A92E12"/>
    <w:rsid w:val="00A9310F"/>
    <w:rsid w:val="00A94B1A"/>
    <w:rsid w:val="00A9506F"/>
    <w:rsid w:val="00A95A30"/>
    <w:rsid w:val="00A967FD"/>
    <w:rsid w:val="00A96B2C"/>
    <w:rsid w:val="00A97CE3"/>
    <w:rsid w:val="00AA15BC"/>
    <w:rsid w:val="00AA15F2"/>
    <w:rsid w:val="00AA1709"/>
    <w:rsid w:val="00AA1CF5"/>
    <w:rsid w:val="00AA2C3D"/>
    <w:rsid w:val="00AA3298"/>
    <w:rsid w:val="00AA45B0"/>
    <w:rsid w:val="00AA7D4C"/>
    <w:rsid w:val="00AB00AD"/>
    <w:rsid w:val="00AB0340"/>
    <w:rsid w:val="00AB156C"/>
    <w:rsid w:val="00AB1C92"/>
    <w:rsid w:val="00AB1F7F"/>
    <w:rsid w:val="00AB2A15"/>
    <w:rsid w:val="00AB3BD2"/>
    <w:rsid w:val="00AB4A4F"/>
    <w:rsid w:val="00AB4E9B"/>
    <w:rsid w:val="00AB55F3"/>
    <w:rsid w:val="00AB5DA2"/>
    <w:rsid w:val="00AB6814"/>
    <w:rsid w:val="00AB77C0"/>
    <w:rsid w:val="00AC04BA"/>
    <w:rsid w:val="00AC074A"/>
    <w:rsid w:val="00AC0BDE"/>
    <w:rsid w:val="00AC0E39"/>
    <w:rsid w:val="00AC12C6"/>
    <w:rsid w:val="00AC15AB"/>
    <w:rsid w:val="00AC20B4"/>
    <w:rsid w:val="00AC2377"/>
    <w:rsid w:val="00AC2500"/>
    <w:rsid w:val="00AC3D61"/>
    <w:rsid w:val="00AC4159"/>
    <w:rsid w:val="00AC4205"/>
    <w:rsid w:val="00AC4812"/>
    <w:rsid w:val="00AC4A08"/>
    <w:rsid w:val="00AC5133"/>
    <w:rsid w:val="00AC5626"/>
    <w:rsid w:val="00AC56CC"/>
    <w:rsid w:val="00AC5716"/>
    <w:rsid w:val="00AC5D88"/>
    <w:rsid w:val="00AC631A"/>
    <w:rsid w:val="00AC65C6"/>
    <w:rsid w:val="00AC6A99"/>
    <w:rsid w:val="00AC7336"/>
    <w:rsid w:val="00AC7A62"/>
    <w:rsid w:val="00AC7D4B"/>
    <w:rsid w:val="00AD035B"/>
    <w:rsid w:val="00AD1671"/>
    <w:rsid w:val="00AD1AAE"/>
    <w:rsid w:val="00AD21B3"/>
    <w:rsid w:val="00AD277F"/>
    <w:rsid w:val="00AD283A"/>
    <w:rsid w:val="00AD3082"/>
    <w:rsid w:val="00AD32B4"/>
    <w:rsid w:val="00AD32C9"/>
    <w:rsid w:val="00AD35B8"/>
    <w:rsid w:val="00AD36FA"/>
    <w:rsid w:val="00AD4AD0"/>
    <w:rsid w:val="00AD4C4E"/>
    <w:rsid w:val="00AD5347"/>
    <w:rsid w:val="00AD5379"/>
    <w:rsid w:val="00AD5436"/>
    <w:rsid w:val="00AD60CD"/>
    <w:rsid w:val="00AD6C8C"/>
    <w:rsid w:val="00AD733D"/>
    <w:rsid w:val="00AE04D3"/>
    <w:rsid w:val="00AE091D"/>
    <w:rsid w:val="00AE0FC6"/>
    <w:rsid w:val="00AE3B60"/>
    <w:rsid w:val="00AE3CA3"/>
    <w:rsid w:val="00AE3E97"/>
    <w:rsid w:val="00AE42E2"/>
    <w:rsid w:val="00AE4965"/>
    <w:rsid w:val="00AE4BCA"/>
    <w:rsid w:val="00AE4EFA"/>
    <w:rsid w:val="00AE53A1"/>
    <w:rsid w:val="00AE5744"/>
    <w:rsid w:val="00AE5A22"/>
    <w:rsid w:val="00AE5C53"/>
    <w:rsid w:val="00AE5DFA"/>
    <w:rsid w:val="00AE5E25"/>
    <w:rsid w:val="00AE6453"/>
    <w:rsid w:val="00AE7615"/>
    <w:rsid w:val="00AE778C"/>
    <w:rsid w:val="00AF01BC"/>
    <w:rsid w:val="00AF01C0"/>
    <w:rsid w:val="00AF12B6"/>
    <w:rsid w:val="00AF19BE"/>
    <w:rsid w:val="00AF2484"/>
    <w:rsid w:val="00AF2E71"/>
    <w:rsid w:val="00AF316F"/>
    <w:rsid w:val="00AF3299"/>
    <w:rsid w:val="00AF3348"/>
    <w:rsid w:val="00AF3B68"/>
    <w:rsid w:val="00AF63E7"/>
    <w:rsid w:val="00AF65F1"/>
    <w:rsid w:val="00AF668D"/>
    <w:rsid w:val="00AF675B"/>
    <w:rsid w:val="00AF6E17"/>
    <w:rsid w:val="00AF78CE"/>
    <w:rsid w:val="00AF7F33"/>
    <w:rsid w:val="00B010BE"/>
    <w:rsid w:val="00B0165D"/>
    <w:rsid w:val="00B01B60"/>
    <w:rsid w:val="00B02062"/>
    <w:rsid w:val="00B02631"/>
    <w:rsid w:val="00B026E8"/>
    <w:rsid w:val="00B02C86"/>
    <w:rsid w:val="00B02D7B"/>
    <w:rsid w:val="00B031F3"/>
    <w:rsid w:val="00B03387"/>
    <w:rsid w:val="00B042D3"/>
    <w:rsid w:val="00B051DA"/>
    <w:rsid w:val="00B052A4"/>
    <w:rsid w:val="00B108F7"/>
    <w:rsid w:val="00B10EA1"/>
    <w:rsid w:val="00B125DE"/>
    <w:rsid w:val="00B12C6F"/>
    <w:rsid w:val="00B1350D"/>
    <w:rsid w:val="00B13A1C"/>
    <w:rsid w:val="00B13EB7"/>
    <w:rsid w:val="00B13FDD"/>
    <w:rsid w:val="00B14DB9"/>
    <w:rsid w:val="00B15596"/>
    <w:rsid w:val="00B1578F"/>
    <w:rsid w:val="00B16411"/>
    <w:rsid w:val="00B17745"/>
    <w:rsid w:val="00B17DC7"/>
    <w:rsid w:val="00B20CDD"/>
    <w:rsid w:val="00B213F2"/>
    <w:rsid w:val="00B2171A"/>
    <w:rsid w:val="00B225AD"/>
    <w:rsid w:val="00B228E5"/>
    <w:rsid w:val="00B22921"/>
    <w:rsid w:val="00B22EB2"/>
    <w:rsid w:val="00B2318D"/>
    <w:rsid w:val="00B23C44"/>
    <w:rsid w:val="00B245F5"/>
    <w:rsid w:val="00B24775"/>
    <w:rsid w:val="00B24A60"/>
    <w:rsid w:val="00B24BBE"/>
    <w:rsid w:val="00B25372"/>
    <w:rsid w:val="00B2598A"/>
    <w:rsid w:val="00B259A7"/>
    <w:rsid w:val="00B269A2"/>
    <w:rsid w:val="00B27442"/>
    <w:rsid w:val="00B27564"/>
    <w:rsid w:val="00B277BF"/>
    <w:rsid w:val="00B3091D"/>
    <w:rsid w:val="00B30DBE"/>
    <w:rsid w:val="00B31167"/>
    <w:rsid w:val="00B31195"/>
    <w:rsid w:val="00B31AB7"/>
    <w:rsid w:val="00B31DB9"/>
    <w:rsid w:val="00B329D8"/>
    <w:rsid w:val="00B32BB9"/>
    <w:rsid w:val="00B3343F"/>
    <w:rsid w:val="00B33AE1"/>
    <w:rsid w:val="00B33B81"/>
    <w:rsid w:val="00B35476"/>
    <w:rsid w:val="00B3571E"/>
    <w:rsid w:val="00B36722"/>
    <w:rsid w:val="00B37C38"/>
    <w:rsid w:val="00B40C53"/>
    <w:rsid w:val="00B40D1E"/>
    <w:rsid w:val="00B40D3B"/>
    <w:rsid w:val="00B40EBB"/>
    <w:rsid w:val="00B41517"/>
    <w:rsid w:val="00B4288C"/>
    <w:rsid w:val="00B43262"/>
    <w:rsid w:val="00B43510"/>
    <w:rsid w:val="00B43D42"/>
    <w:rsid w:val="00B43D9D"/>
    <w:rsid w:val="00B44100"/>
    <w:rsid w:val="00B4480C"/>
    <w:rsid w:val="00B4487F"/>
    <w:rsid w:val="00B45C75"/>
    <w:rsid w:val="00B465C9"/>
    <w:rsid w:val="00B466BB"/>
    <w:rsid w:val="00B46CBA"/>
    <w:rsid w:val="00B46F94"/>
    <w:rsid w:val="00B47C14"/>
    <w:rsid w:val="00B514B8"/>
    <w:rsid w:val="00B519AC"/>
    <w:rsid w:val="00B521E5"/>
    <w:rsid w:val="00B52691"/>
    <w:rsid w:val="00B52756"/>
    <w:rsid w:val="00B52B51"/>
    <w:rsid w:val="00B532A0"/>
    <w:rsid w:val="00B5403D"/>
    <w:rsid w:val="00B541B7"/>
    <w:rsid w:val="00B5473E"/>
    <w:rsid w:val="00B54889"/>
    <w:rsid w:val="00B565D4"/>
    <w:rsid w:val="00B56938"/>
    <w:rsid w:val="00B574FA"/>
    <w:rsid w:val="00B57DC3"/>
    <w:rsid w:val="00B6003C"/>
    <w:rsid w:val="00B609F1"/>
    <w:rsid w:val="00B60B11"/>
    <w:rsid w:val="00B616D9"/>
    <w:rsid w:val="00B61E9E"/>
    <w:rsid w:val="00B61F03"/>
    <w:rsid w:val="00B61FC1"/>
    <w:rsid w:val="00B6218E"/>
    <w:rsid w:val="00B626E4"/>
    <w:rsid w:val="00B6279C"/>
    <w:rsid w:val="00B634AC"/>
    <w:rsid w:val="00B637A2"/>
    <w:rsid w:val="00B63F44"/>
    <w:rsid w:val="00B64D3E"/>
    <w:rsid w:val="00B65068"/>
    <w:rsid w:val="00B6601F"/>
    <w:rsid w:val="00B6657D"/>
    <w:rsid w:val="00B67A39"/>
    <w:rsid w:val="00B67B75"/>
    <w:rsid w:val="00B709BF"/>
    <w:rsid w:val="00B7138A"/>
    <w:rsid w:val="00B727E9"/>
    <w:rsid w:val="00B72C4A"/>
    <w:rsid w:val="00B72DB2"/>
    <w:rsid w:val="00B72F4A"/>
    <w:rsid w:val="00B73CFE"/>
    <w:rsid w:val="00B7404B"/>
    <w:rsid w:val="00B747E1"/>
    <w:rsid w:val="00B74EC3"/>
    <w:rsid w:val="00B75775"/>
    <w:rsid w:val="00B760AC"/>
    <w:rsid w:val="00B767BF"/>
    <w:rsid w:val="00B7681C"/>
    <w:rsid w:val="00B771EC"/>
    <w:rsid w:val="00B77341"/>
    <w:rsid w:val="00B77544"/>
    <w:rsid w:val="00B777C0"/>
    <w:rsid w:val="00B801AB"/>
    <w:rsid w:val="00B810A2"/>
    <w:rsid w:val="00B815D9"/>
    <w:rsid w:val="00B81A45"/>
    <w:rsid w:val="00B82D2E"/>
    <w:rsid w:val="00B830D0"/>
    <w:rsid w:val="00B8339F"/>
    <w:rsid w:val="00B83C27"/>
    <w:rsid w:val="00B83CC4"/>
    <w:rsid w:val="00B83EE3"/>
    <w:rsid w:val="00B83F8F"/>
    <w:rsid w:val="00B842B0"/>
    <w:rsid w:val="00B84700"/>
    <w:rsid w:val="00B84904"/>
    <w:rsid w:val="00B84965"/>
    <w:rsid w:val="00B84BC3"/>
    <w:rsid w:val="00B84BDD"/>
    <w:rsid w:val="00B84DB2"/>
    <w:rsid w:val="00B851E3"/>
    <w:rsid w:val="00B864BB"/>
    <w:rsid w:val="00B86678"/>
    <w:rsid w:val="00B868CB"/>
    <w:rsid w:val="00B870EF"/>
    <w:rsid w:val="00B872B3"/>
    <w:rsid w:val="00B87646"/>
    <w:rsid w:val="00B8783C"/>
    <w:rsid w:val="00B9014C"/>
    <w:rsid w:val="00B9054D"/>
    <w:rsid w:val="00B91108"/>
    <w:rsid w:val="00B911D6"/>
    <w:rsid w:val="00B91314"/>
    <w:rsid w:val="00B91BFC"/>
    <w:rsid w:val="00B92141"/>
    <w:rsid w:val="00B9217D"/>
    <w:rsid w:val="00B926A1"/>
    <w:rsid w:val="00B92812"/>
    <w:rsid w:val="00B937C5"/>
    <w:rsid w:val="00B94C86"/>
    <w:rsid w:val="00B95841"/>
    <w:rsid w:val="00B962CD"/>
    <w:rsid w:val="00B96C20"/>
    <w:rsid w:val="00B96DBC"/>
    <w:rsid w:val="00B97161"/>
    <w:rsid w:val="00B971FB"/>
    <w:rsid w:val="00B97667"/>
    <w:rsid w:val="00BA046F"/>
    <w:rsid w:val="00BA0673"/>
    <w:rsid w:val="00BA26FE"/>
    <w:rsid w:val="00BA34A4"/>
    <w:rsid w:val="00BA498C"/>
    <w:rsid w:val="00BA49E4"/>
    <w:rsid w:val="00BA5537"/>
    <w:rsid w:val="00BA5DA7"/>
    <w:rsid w:val="00BA6010"/>
    <w:rsid w:val="00BA7AE9"/>
    <w:rsid w:val="00BB048E"/>
    <w:rsid w:val="00BB1907"/>
    <w:rsid w:val="00BB1CDE"/>
    <w:rsid w:val="00BB2944"/>
    <w:rsid w:val="00BB38F9"/>
    <w:rsid w:val="00BB3B22"/>
    <w:rsid w:val="00BB45A1"/>
    <w:rsid w:val="00BB4EA4"/>
    <w:rsid w:val="00BB5233"/>
    <w:rsid w:val="00BB7328"/>
    <w:rsid w:val="00BB7686"/>
    <w:rsid w:val="00BB788D"/>
    <w:rsid w:val="00BC015C"/>
    <w:rsid w:val="00BC0D00"/>
    <w:rsid w:val="00BC0D50"/>
    <w:rsid w:val="00BC0E4C"/>
    <w:rsid w:val="00BC1967"/>
    <w:rsid w:val="00BC23F9"/>
    <w:rsid w:val="00BC33FD"/>
    <w:rsid w:val="00BC3421"/>
    <w:rsid w:val="00BC429C"/>
    <w:rsid w:val="00BC55D6"/>
    <w:rsid w:val="00BC629D"/>
    <w:rsid w:val="00BC673B"/>
    <w:rsid w:val="00BC732C"/>
    <w:rsid w:val="00BC738B"/>
    <w:rsid w:val="00BC7F0B"/>
    <w:rsid w:val="00BD1600"/>
    <w:rsid w:val="00BD186B"/>
    <w:rsid w:val="00BD189F"/>
    <w:rsid w:val="00BD18A5"/>
    <w:rsid w:val="00BD2B64"/>
    <w:rsid w:val="00BD34F1"/>
    <w:rsid w:val="00BD36DA"/>
    <w:rsid w:val="00BD3820"/>
    <w:rsid w:val="00BD4E1C"/>
    <w:rsid w:val="00BD54CD"/>
    <w:rsid w:val="00BD5B28"/>
    <w:rsid w:val="00BD60E3"/>
    <w:rsid w:val="00BD6168"/>
    <w:rsid w:val="00BD6CAB"/>
    <w:rsid w:val="00BE0423"/>
    <w:rsid w:val="00BE0BC1"/>
    <w:rsid w:val="00BE13F4"/>
    <w:rsid w:val="00BE194D"/>
    <w:rsid w:val="00BE2580"/>
    <w:rsid w:val="00BE266D"/>
    <w:rsid w:val="00BE291C"/>
    <w:rsid w:val="00BE2CC9"/>
    <w:rsid w:val="00BE2DC0"/>
    <w:rsid w:val="00BE38BD"/>
    <w:rsid w:val="00BE3938"/>
    <w:rsid w:val="00BE3A94"/>
    <w:rsid w:val="00BE43B6"/>
    <w:rsid w:val="00BE4890"/>
    <w:rsid w:val="00BE4C11"/>
    <w:rsid w:val="00BE4FB5"/>
    <w:rsid w:val="00BE59BE"/>
    <w:rsid w:val="00BE6916"/>
    <w:rsid w:val="00BE6AAD"/>
    <w:rsid w:val="00BE71C0"/>
    <w:rsid w:val="00BE75A7"/>
    <w:rsid w:val="00BE7AFE"/>
    <w:rsid w:val="00BF1606"/>
    <w:rsid w:val="00BF2007"/>
    <w:rsid w:val="00BF26C5"/>
    <w:rsid w:val="00BF3786"/>
    <w:rsid w:val="00BF3D4A"/>
    <w:rsid w:val="00BF3EC0"/>
    <w:rsid w:val="00BF456C"/>
    <w:rsid w:val="00BF4E58"/>
    <w:rsid w:val="00BF5FD2"/>
    <w:rsid w:val="00BF610C"/>
    <w:rsid w:val="00BF6675"/>
    <w:rsid w:val="00BF6CEA"/>
    <w:rsid w:val="00BF728D"/>
    <w:rsid w:val="00BF7348"/>
    <w:rsid w:val="00BF76BC"/>
    <w:rsid w:val="00BF7A33"/>
    <w:rsid w:val="00BF7D9F"/>
    <w:rsid w:val="00C0060B"/>
    <w:rsid w:val="00C0067C"/>
    <w:rsid w:val="00C01D18"/>
    <w:rsid w:val="00C0236C"/>
    <w:rsid w:val="00C0277D"/>
    <w:rsid w:val="00C02CD4"/>
    <w:rsid w:val="00C02DED"/>
    <w:rsid w:val="00C03871"/>
    <w:rsid w:val="00C0454F"/>
    <w:rsid w:val="00C04FC0"/>
    <w:rsid w:val="00C0526F"/>
    <w:rsid w:val="00C0539D"/>
    <w:rsid w:val="00C053A1"/>
    <w:rsid w:val="00C05934"/>
    <w:rsid w:val="00C05D37"/>
    <w:rsid w:val="00C05DF9"/>
    <w:rsid w:val="00C0647F"/>
    <w:rsid w:val="00C06614"/>
    <w:rsid w:val="00C0685A"/>
    <w:rsid w:val="00C06D75"/>
    <w:rsid w:val="00C06F98"/>
    <w:rsid w:val="00C073D9"/>
    <w:rsid w:val="00C10A83"/>
    <w:rsid w:val="00C10B00"/>
    <w:rsid w:val="00C10DEF"/>
    <w:rsid w:val="00C10EF3"/>
    <w:rsid w:val="00C1152D"/>
    <w:rsid w:val="00C11FCB"/>
    <w:rsid w:val="00C12545"/>
    <w:rsid w:val="00C12F50"/>
    <w:rsid w:val="00C12F75"/>
    <w:rsid w:val="00C132A1"/>
    <w:rsid w:val="00C1475E"/>
    <w:rsid w:val="00C14AD3"/>
    <w:rsid w:val="00C1500C"/>
    <w:rsid w:val="00C1576A"/>
    <w:rsid w:val="00C15BA7"/>
    <w:rsid w:val="00C15D46"/>
    <w:rsid w:val="00C16198"/>
    <w:rsid w:val="00C174A4"/>
    <w:rsid w:val="00C17DA2"/>
    <w:rsid w:val="00C200E3"/>
    <w:rsid w:val="00C2083D"/>
    <w:rsid w:val="00C20C9A"/>
    <w:rsid w:val="00C21030"/>
    <w:rsid w:val="00C21909"/>
    <w:rsid w:val="00C21912"/>
    <w:rsid w:val="00C21B53"/>
    <w:rsid w:val="00C21F4C"/>
    <w:rsid w:val="00C23C75"/>
    <w:rsid w:val="00C23E35"/>
    <w:rsid w:val="00C24A53"/>
    <w:rsid w:val="00C25A23"/>
    <w:rsid w:val="00C260DF"/>
    <w:rsid w:val="00C26173"/>
    <w:rsid w:val="00C27140"/>
    <w:rsid w:val="00C30372"/>
    <w:rsid w:val="00C30B26"/>
    <w:rsid w:val="00C319E5"/>
    <w:rsid w:val="00C32455"/>
    <w:rsid w:val="00C327A6"/>
    <w:rsid w:val="00C33021"/>
    <w:rsid w:val="00C33176"/>
    <w:rsid w:val="00C33A37"/>
    <w:rsid w:val="00C347F6"/>
    <w:rsid w:val="00C34A05"/>
    <w:rsid w:val="00C355ED"/>
    <w:rsid w:val="00C35ABF"/>
    <w:rsid w:val="00C3604C"/>
    <w:rsid w:val="00C36639"/>
    <w:rsid w:val="00C367FC"/>
    <w:rsid w:val="00C374D1"/>
    <w:rsid w:val="00C400F4"/>
    <w:rsid w:val="00C401A8"/>
    <w:rsid w:val="00C4032F"/>
    <w:rsid w:val="00C404E9"/>
    <w:rsid w:val="00C40966"/>
    <w:rsid w:val="00C40E65"/>
    <w:rsid w:val="00C42276"/>
    <w:rsid w:val="00C429D4"/>
    <w:rsid w:val="00C42BCF"/>
    <w:rsid w:val="00C42C15"/>
    <w:rsid w:val="00C43A99"/>
    <w:rsid w:val="00C43D45"/>
    <w:rsid w:val="00C44047"/>
    <w:rsid w:val="00C443C7"/>
    <w:rsid w:val="00C44770"/>
    <w:rsid w:val="00C45155"/>
    <w:rsid w:val="00C45395"/>
    <w:rsid w:val="00C458EA"/>
    <w:rsid w:val="00C4637D"/>
    <w:rsid w:val="00C4678B"/>
    <w:rsid w:val="00C46BF3"/>
    <w:rsid w:val="00C50635"/>
    <w:rsid w:val="00C50A4C"/>
    <w:rsid w:val="00C50B4E"/>
    <w:rsid w:val="00C50CD1"/>
    <w:rsid w:val="00C5109E"/>
    <w:rsid w:val="00C51923"/>
    <w:rsid w:val="00C5192A"/>
    <w:rsid w:val="00C52A58"/>
    <w:rsid w:val="00C52A8F"/>
    <w:rsid w:val="00C53383"/>
    <w:rsid w:val="00C533F4"/>
    <w:rsid w:val="00C543D2"/>
    <w:rsid w:val="00C5498F"/>
    <w:rsid w:val="00C54BEA"/>
    <w:rsid w:val="00C54DE0"/>
    <w:rsid w:val="00C55235"/>
    <w:rsid w:val="00C55263"/>
    <w:rsid w:val="00C55D45"/>
    <w:rsid w:val="00C55E57"/>
    <w:rsid w:val="00C56000"/>
    <w:rsid w:val="00C567B9"/>
    <w:rsid w:val="00C56B65"/>
    <w:rsid w:val="00C56B71"/>
    <w:rsid w:val="00C56E61"/>
    <w:rsid w:val="00C57226"/>
    <w:rsid w:val="00C5782B"/>
    <w:rsid w:val="00C57888"/>
    <w:rsid w:val="00C57BF6"/>
    <w:rsid w:val="00C57F57"/>
    <w:rsid w:val="00C603C6"/>
    <w:rsid w:val="00C60F01"/>
    <w:rsid w:val="00C61B31"/>
    <w:rsid w:val="00C61FD4"/>
    <w:rsid w:val="00C62009"/>
    <w:rsid w:val="00C63BEC"/>
    <w:rsid w:val="00C6464C"/>
    <w:rsid w:val="00C64CD0"/>
    <w:rsid w:val="00C65B01"/>
    <w:rsid w:val="00C6684F"/>
    <w:rsid w:val="00C66850"/>
    <w:rsid w:val="00C66ADD"/>
    <w:rsid w:val="00C66FA9"/>
    <w:rsid w:val="00C67AF6"/>
    <w:rsid w:val="00C67DDB"/>
    <w:rsid w:val="00C67E91"/>
    <w:rsid w:val="00C70630"/>
    <w:rsid w:val="00C70674"/>
    <w:rsid w:val="00C7089C"/>
    <w:rsid w:val="00C70997"/>
    <w:rsid w:val="00C70E70"/>
    <w:rsid w:val="00C7153A"/>
    <w:rsid w:val="00C72265"/>
    <w:rsid w:val="00C7245A"/>
    <w:rsid w:val="00C74ADE"/>
    <w:rsid w:val="00C74CA1"/>
    <w:rsid w:val="00C75BFD"/>
    <w:rsid w:val="00C75F8D"/>
    <w:rsid w:val="00C765F9"/>
    <w:rsid w:val="00C7660A"/>
    <w:rsid w:val="00C76DB6"/>
    <w:rsid w:val="00C77380"/>
    <w:rsid w:val="00C77641"/>
    <w:rsid w:val="00C80011"/>
    <w:rsid w:val="00C81327"/>
    <w:rsid w:val="00C81934"/>
    <w:rsid w:val="00C81AB6"/>
    <w:rsid w:val="00C82255"/>
    <w:rsid w:val="00C83887"/>
    <w:rsid w:val="00C83A57"/>
    <w:rsid w:val="00C84314"/>
    <w:rsid w:val="00C84323"/>
    <w:rsid w:val="00C8570C"/>
    <w:rsid w:val="00C86A25"/>
    <w:rsid w:val="00C8721B"/>
    <w:rsid w:val="00C87342"/>
    <w:rsid w:val="00C90475"/>
    <w:rsid w:val="00C90A45"/>
    <w:rsid w:val="00C90E70"/>
    <w:rsid w:val="00C919C5"/>
    <w:rsid w:val="00C92115"/>
    <w:rsid w:val="00C92594"/>
    <w:rsid w:val="00C93139"/>
    <w:rsid w:val="00C932C4"/>
    <w:rsid w:val="00C94409"/>
    <w:rsid w:val="00C94652"/>
    <w:rsid w:val="00C948F5"/>
    <w:rsid w:val="00C95B03"/>
    <w:rsid w:val="00C96325"/>
    <w:rsid w:val="00C96A25"/>
    <w:rsid w:val="00C96D02"/>
    <w:rsid w:val="00C97736"/>
    <w:rsid w:val="00C979DB"/>
    <w:rsid w:val="00CA0245"/>
    <w:rsid w:val="00CA03C3"/>
    <w:rsid w:val="00CA049A"/>
    <w:rsid w:val="00CA0DFC"/>
    <w:rsid w:val="00CA13F7"/>
    <w:rsid w:val="00CA26C9"/>
    <w:rsid w:val="00CA289D"/>
    <w:rsid w:val="00CA3025"/>
    <w:rsid w:val="00CA345A"/>
    <w:rsid w:val="00CA45D7"/>
    <w:rsid w:val="00CA46C1"/>
    <w:rsid w:val="00CA57F5"/>
    <w:rsid w:val="00CA5A31"/>
    <w:rsid w:val="00CA5FD2"/>
    <w:rsid w:val="00CA6207"/>
    <w:rsid w:val="00CA6DC3"/>
    <w:rsid w:val="00CA71C5"/>
    <w:rsid w:val="00CB0353"/>
    <w:rsid w:val="00CB087E"/>
    <w:rsid w:val="00CB1C6B"/>
    <w:rsid w:val="00CB1E82"/>
    <w:rsid w:val="00CB2223"/>
    <w:rsid w:val="00CB2B01"/>
    <w:rsid w:val="00CB368F"/>
    <w:rsid w:val="00CB40F1"/>
    <w:rsid w:val="00CB4118"/>
    <w:rsid w:val="00CB4BA8"/>
    <w:rsid w:val="00CB4C45"/>
    <w:rsid w:val="00CB4E08"/>
    <w:rsid w:val="00CB52D7"/>
    <w:rsid w:val="00CB5716"/>
    <w:rsid w:val="00CB6389"/>
    <w:rsid w:val="00CB64EC"/>
    <w:rsid w:val="00CB687F"/>
    <w:rsid w:val="00CB6E97"/>
    <w:rsid w:val="00CC0240"/>
    <w:rsid w:val="00CC0445"/>
    <w:rsid w:val="00CC06D8"/>
    <w:rsid w:val="00CC06DD"/>
    <w:rsid w:val="00CC1371"/>
    <w:rsid w:val="00CC15B2"/>
    <w:rsid w:val="00CC18D6"/>
    <w:rsid w:val="00CC1E13"/>
    <w:rsid w:val="00CC2508"/>
    <w:rsid w:val="00CC38CA"/>
    <w:rsid w:val="00CC3CBB"/>
    <w:rsid w:val="00CC3FC1"/>
    <w:rsid w:val="00CC4D77"/>
    <w:rsid w:val="00CC5B35"/>
    <w:rsid w:val="00CC5B97"/>
    <w:rsid w:val="00CC61D5"/>
    <w:rsid w:val="00CC6732"/>
    <w:rsid w:val="00CC6950"/>
    <w:rsid w:val="00CC6D4C"/>
    <w:rsid w:val="00CC6E47"/>
    <w:rsid w:val="00CC7472"/>
    <w:rsid w:val="00CD12F0"/>
    <w:rsid w:val="00CD17DD"/>
    <w:rsid w:val="00CD1E47"/>
    <w:rsid w:val="00CD20C4"/>
    <w:rsid w:val="00CD35A7"/>
    <w:rsid w:val="00CD3BDA"/>
    <w:rsid w:val="00CD3EAA"/>
    <w:rsid w:val="00CD4145"/>
    <w:rsid w:val="00CD459E"/>
    <w:rsid w:val="00CD4A5B"/>
    <w:rsid w:val="00CD5625"/>
    <w:rsid w:val="00CD6F0A"/>
    <w:rsid w:val="00CD77BB"/>
    <w:rsid w:val="00CE00C9"/>
    <w:rsid w:val="00CE0B46"/>
    <w:rsid w:val="00CE1D8A"/>
    <w:rsid w:val="00CE2B49"/>
    <w:rsid w:val="00CE36AE"/>
    <w:rsid w:val="00CE38E8"/>
    <w:rsid w:val="00CE3A28"/>
    <w:rsid w:val="00CE3C2E"/>
    <w:rsid w:val="00CE3C96"/>
    <w:rsid w:val="00CE3EF0"/>
    <w:rsid w:val="00CE4127"/>
    <w:rsid w:val="00CE45B3"/>
    <w:rsid w:val="00CE4E75"/>
    <w:rsid w:val="00CE51A8"/>
    <w:rsid w:val="00CE5571"/>
    <w:rsid w:val="00CE5C85"/>
    <w:rsid w:val="00CE63EC"/>
    <w:rsid w:val="00CE6D4A"/>
    <w:rsid w:val="00CE7AC8"/>
    <w:rsid w:val="00CE7E15"/>
    <w:rsid w:val="00CF1BE6"/>
    <w:rsid w:val="00CF1EC4"/>
    <w:rsid w:val="00CF1FEF"/>
    <w:rsid w:val="00CF22C7"/>
    <w:rsid w:val="00CF26B7"/>
    <w:rsid w:val="00CF29B2"/>
    <w:rsid w:val="00CF322E"/>
    <w:rsid w:val="00CF369B"/>
    <w:rsid w:val="00CF3D41"/>
    <w:rsid w:val="00CF4F74"/>
    <w:rsid w:val="00CF5365"/>
    <w:rsid w:val="00CF55DE"/>
    <w:rsid w:val="00CF58FB"/>
    <w:rsid w:val="00CF6ED1"/>
    <w:rsid w:val="00CF7198"/>
    <w:rsid w:val="00CF75B8"/>
    <w:rsid w:val="00CF7DA3"/>
    <w:rsid w:val="00D004A3"/>
    <w:rsid w:val="00D00BC3"/>
    <w:rsid w:val="00D00E28"/>
    <w:rsid w:val="00D00FCC"/>
    <w:rsid w:val="00D01D55"/>
    <w:rsid w:val="00D0227D"/>
    <w:rsid w:val="00D02662"/>
    <w:rsid w:val="00D0269E"/>
    <w:rsid w:val="00D028F7"/>
    <w:rsid w:val="00D02B2C"/>
    <w:rsid w:val="00D034B2"/>
    <w:rsid w:val="00D038FC"/>
    <w:rsid w:val="00D045F3"/>
    <w:rsid w:val="00D04F2B"/>
    <w:rsid w:val="00D0518C"/>
    <w:rsid w:val="00D05A8D"/>
    <w:rsid w:val="00D05D6C"/>
    <w:rsid w:val="00D0698A"/>
    <w:rsid w:val="00D06996"/>
    <w:rsid w:val="00D06C1E"/>
    <w:rsid w:val="00D07192"/>
    <w:rsid w:val="00D0778B"/>
    <w:rsid w:val="00D10280"/>
    <w:rsid w:val="00D110FC"/>
    <w:rsid w:val="00D127FC"/>
    <w:rsid w:val="00D12BB1"/>
    <w:rsid w:val="00D13FC5"/>
    <w:rsid w:val="00D143F0"/>
    <w:rsid w:val="00D15256"/>
    <w:rsid w:val="00D15810"/>
    <w:rsid w:val="00D15CCF"/>
    <w:rsid w:val="00D161DF"/>
    <w:rsid w:val="00D16385"/>
    <w:rsid w:val="00D16411"/>
    <w:rsid w:val="00D169BA"/>
    <w:rsid w:val="00D16A11"/>
    <w:rsid w:val="00D16BEB"/>
    <w:rsid w:val="00D16D4E"/>
    <w:rsid w:val="00D16FE3"/>
    <w:rsid w:val="00D170B9"/>
    <w:rsid w:val="00D210EA"/>
    <w:rsid w:val="00D21C04"/>
    <w:rsid w:val="00D22AFB"/>
    <w:rsid w:val="00D22CAE"/>
    <w:rsid w:val="00D232C0"/>
    <w:rsid w:val="00D23863"/>
    <w:rsid w:val="00D24E0D"/>
    <w:rsid w:val="00D24EC9"/>
    <w:rsid w:val="00D25492"/>
    <w:rsid w:val="00D2553A"/>
    <w:rsid w:val="00D25F9B"/>
    <w:rsid w:val="00D263A8"/>
    <w:rsid w:val="00D267CF"/>
    <w:rsid w:val="00D268FF"/>
    <w:rsid w:val="00D27095"/>
    <w:rsid w:val="00D2732D"/>
    <w:rsid w:val="00D27EE4"/>
    <w:rsid w:val="00D27F41"/>
    <w:rsid w:val="00D27F67"/>
    <w:rsid w:val="00D30AEF"/>
    <w:rsid w:val="00D31129"/>
    <w:rsid w:val="00D3165D"/>
    <w:rsid w:val="00D322AE"/>
    <w:rsid w:val="00D32E04"/>
    <w:rsid w:val="00D33077"/>
    <w:rsid w:val="00D34107"/>
    <w:rsid w:val="00D34788"/>
    <w:rsid w:val="00D3495C"/>
    <w:rsid w:val="00D34C68"/>
    <w:rsid w:val="00D35A66"/>
    <w:rsid w:val="00D36441"/>
    <w:rsid w:val="00D365CA"/>
    <w:rsid w:val="00D37927"/>
    <w:rsid w:val="00D4064E"/>
    <w:rsid w:val="00D409F6"/>
    <w:rsid w:val="00D4102A"/>
    <w:rsid w:val="00D411B9"/>
    <w:rsid w:val="00D41227"/>
    <w:rsid w:val="00D42441"/>
    <w:rsid w:val="00D4263E"/>
    <w:rsid w:val="00D42788"/>
    <w:rsid w:val="00D433F2"/>
    <w:rsid w:val="00D4390B"/>
    <w:rsid w:val="00D440E8"/>
    <w:rsid w:val="00D44420"/>
    <w:rsid w:val="00D4447A"/>
    <w:rsid w:val="00D447F5"/>
    <w:rsid w:val="00D4494E"/>
    <w:rsid w:val="00D44CDE"/>
    <w:rsid w:val="00D44E9B"/>
    <w:rsid w:val="00D45071"/>
    <w:rsid w:val="00D456EC"/>
    <w:rsid w:val="00D46D0F"/>
    <w:rsid w:val="00D46D79"/>
    <w:rsid w:val="00D4726B"/>
    <w:rsid w:val="00D47533"/>
    <w:rsid w:val="00D47775"/>
    <w:rsid w:val="00D47AEB"/>
    <w:rsid w:val="00D47F6A"/>
    <w:rsid w:val="00D50A45"/>
    <w:rsid w:val="00D50DB9"/>
    <w:rsid w:val="00D51302"/>
    <w:rsid w:val="00D5184E"/>
    <w:rsid w:val="00D51FFF"/>
    <w:rsid w:val="00D52C43"/>
    <w:rsid w:val="00D52F13"/>
    <w:rsid w:val="00D5330A"/>
    <w:rsid w:val="00D53F9B"/>
    <w:rsid w:val="00D56202"/>
    <w:rsid w:val="00D56A3C"/>
    <w:rsid w:val="00D6330F"/>
    <w:rsid w:val="00D6507F"/>
    <w:rsid w:val="00D651D6"/>
    <w:rsid w:val="00D65B4A"/>
    <w:rsid w:val="00D66004"/>
    <w:rsid w:val="00D66846"/>
    <w:rsid w:val="00D67A77"/>
    <w:rsid w:val="00D70C57"/>
    <w:rsid w:val="00D71068"/>
    <w:rsid w:val="00D71607"/>
    <w:rsid w:val="00D718B3"/>
    <w:rsid w:val="00D72626"/>
    <w:rsid w:val="00D730BC"/>
    <w:rsid w:val="00D735FC"/>
    <w:rsid w:val="00D73786"/>
    <w:rsid w:val="00D73912"/>
    <w:rsid w:val="00D741F2"/>
    <w:rsid w:val="00D74381"/>
    <w:rsid w:val="00D745DF"/>
    <w:rsid w:val="00D7505C"/>
    <w:rsid w:val="00D7587C"/>
    <w:rsid w:val="00D759BB"/>
    <w:rsid w:val="00D75C57"/>
    <w:rsid w:val="00D76885"/>
    <w:rsid w:val="00D8016D"/>
    <w:rsid w:val="00D80390"/>
    <w:rsid w:val="00D80CCD"/>
    <w:rsid w:val="00D811F1"/>
    <w:rsid w:val="00D81850"/>
    <w:rsid w:val="00D82D08"/>
    <w:rsid w:val="00D83A9B"/>
    <w:rsid w:val="00D83DFE"/>
    <w:rsid w:val="00D842C8"/>
    <w:rsid w:val="00D84904"/>
    <w:rsid w:val="00D84CFA"/>
    <w:rsid w:val="00D84DCC"/>
    <w:rsid w:val="00D85226"/>
    <w:rsid w:val="00D85B20"/>
    <w:rsid w:val="00D862E3"/>
    <w:rsid w:val="00D872D3"/>
    <w:rsid w:val="00D8757A"/>
    <w:rsid w:val="00D877B7"/>
    <w:rsid w:val="00D87B94"/>
    <w:rsid w:val="00D87E10"/>
    <w:rsid w:val="00D900BB"/>
    <w:rsid w:val="00D9088B"/>
    <w:rsid w:val="00D91A77"/>
    <w:rsid w:val="00D921A6"/>
    <w:rsid w:val="00D92D49"/>
    <w:rsid w:val="00D92E3D"/>
    <w:rsid w:val="00D92EC1"/>
    <w:rsid w:val="00D9316E"/>
    <w:rsid w:val="00D9352E"/>
    <w:rsid w:val="00D93549"/>
    <w:rsid w:val="00D93CDF"/>
    <w:rsid w:val="00D9474C"/>
    <w:rsid w:val="00D9633D"/>
    <w:rsid w:val="00D96DEA"/>
    <w:rsid w:val="00D970E3"/>
    <w:rsid w:val="00D978B1"/>
    <w:rsid w:val="00D97A62"/>
    <w:rsid w:val="00DA0918"/>
    <w:rsid w:val="00DA0DC2"/>
    <w:rsid w:val="00DA191A"/>
    <w:rsid w:val="00DA2077"/>
    <w:rsid w:val="00DA29A6"/>
    <w:rsid w:val="00DA33AA"/>
    <w:rsid w:val="00DA33AD"/>
    <w:rsid w:val="00DA3DB4"/>
    <w:rsid w:val="00DA41D4"/>
    <w:rsid w:val="00DA4290"/>
    <w:rsid w:val="00DA4309"/>
    <w:rsid w:val="00DA45F0"/>
    <w:rsid w:val="00DA460E"/>
    <w:rsid w:val="00DA4B21"/>
    <w:rsid w:val="00DA4E41"/>
    <w:rsid w:val="00DA6C00"/>
    <w:rsid w:val="00DA7873"/>
    <w:rsid w:val="00DB04B9"/>
    <w:rsid w:val="00DB0A03"/>
    <w:rsid w:val="00DB0CFD"/>
    <w:rsid w:val="00DB117A"/>
    <w:rsid w:val="00DB1A38"/>
    <w:rsid w:val="00DB28D7"/>
    <w:rsid w:val="00DB2D6B"/>
    <w:rsid w:val="00DB34DD"/>
    <w:rsid w:val="00DB3C7E"/>
    <w:rsid w:val="00DB5173"/>
    <w:rsid w:val="00DB534D"/>
    <w:rsid w:val="00DB5EAA"/>
    <w:rsid w:val="00DB6391"/>
    <w:rsid w:val="00DB69B8"/>
    <w:rsid w:val="00DB72D8"/>
    <w:rsid w:val="00DB7873"/>
    <w:rsid w:val="00DB78F2"/>
    <w:rsid w:val="00DC107D"/>
    <w:rsid w:val="00DC151C"/>
    <w:rsid w:val="00DC187B"/>
    <w:rsid w:val="00DC21BD"/>
    <w:rsid w:val="00DC2776"/>
    <w:rsid w:val="00DC281E"/>
    <w:rsid w:val="00DC2FCE"/>
    <w:rsid w:val="00DC3548"/>
    <w:rsid w:val="00DC3581"/>
    <w:rsid w:val="00DC41D9"/>
    <w:rsid w:val="00DC46A6"/>
    <w:rsid w:val="00DC4C97"/>
    <w:rsid w:val="00DC4EB3"/>
    <w:rsid w:val="00DC54D4"/>
    <w:rsid w:val="00DC5583"/>
    <w:rsid w:val="00DC6BF8"/>
    <w:rsid w:val="00DC72D4"/>
    <w:rsid w:val="00DC7DC2"/>
    <w:rsid w:val="00DD058F"/>
    <w:rsid w:val="00DD0AA7"/>
    <w:rsid w:val="00DD0E1A"/>
    <w:rsid w:val="00DD1649"/>
    <w:rsid w:val="00DD21A7"/>
    <w:rsid w:val="00DD2667"/>
    <w:rsid w:val="00DD279F"/>
    <w:rsid w:val="00DD27BF"/>
    <w:rsid w:val="00DD2E57"/>
    <w:rsid w:val="00DD3044"/>
    <w:rsid w:val="00DD3658"/>
    <w:rsid w:val="00DD457C"/>
    <w:rsid w:val="00DD489A"/>
    <w:rsid w:val="00DD54C6"/>
    <w:rsid w:val="00DD6EF5"/>
    <w:rsid w:val="00DD73C2"/>
    <w:rsid w:val="00DE05DB"/>
    <w:rsid w:val="00DE0828"/>
    <w:rsid w:val="00DE09E8"/>
    <w:rsid w:val="00DE2DE9"/>
    <w:rsid w:val="00DE3004"/>
    <w:rsid w:val="00DE319B"/>
    <w:rsid w:val="00DE3A1A"/>
    <w:rsid w:val="00DE3EAD"/>
    <w:rsid w:val="00DE464B"/>
    <w:rsid w:val="00DE585C"/>
    <w:rsid w:val="00DE5C10"/>
    <w:rsid w:val="00DE5C44"/>
    <w:rsid w:val="00DE5CBC"/>
    <w:rsid w:val="00DE646F"/>
    <w:rsid w:val="00DE6912"/>
    <w:rsid w:val="00DE69A6"/>
    <w:rsid w:val="00DF085D"/>
    <w:rsid w:val="00DF0E95"/>
    <w:rsid w:val="00DF17EE"/>
    <w:rsid w:val="00DF1AC1"/>
    <w:rsid w:val="00DF26F8"/>
    <w:rsid w:val="00DF32B7"/>
    <w:rsid w:val="00DF34FE"/>
    <w:rsid w:val="00DF3812"/>
    <w:rsid w:val="00DF3A88"/>
    <w:rsid w:val="00DF56AA"/>
    <w:rsid w:val="00DF56AF"/>
    <w:rsid w:val="00DF6334"/>
    <w:rsid w:val="00DF6CE2"/>
    <w:rsid w:val="00DF6E45"/>
    <w:rsid w:val="00DF78E7"/>
    <w:rsid w:val="00DF7F0C"/>
    <w:rsid w:val="00E004B6"/>
    <w:rsid w:val="00E00578"/>
    <w:rsid w:val="00E00864"/>
    <w:rsid w:val="00E027D3"/>
    <w:rsid w:val="00E029D8"/>
    <w:rsid w:val="00E02ED8"/>
    <w:rsid w:val="00E043D9"/>
    <w:rsid w:val="00E0570C"/>
    <w:rsid w:val="00E064B5"/>
    <w:rsid w:val="00E06C1C"/>
    <w:rsid w:val="00E0708F"/>
    <w:rsid w:val="00E071B6"/>
    <w:rsid w:val="00E07FB1"/>
    <w:rsid w:val="00E07FBF"/>
    <w:rsid w:val="00E10160"/>
    <w:rsid w:val="00E10A1D"/>
    <w:rsid w:val="00E10A3B"/>
    <w:rsid w:val="00E10FE3"/>
    <w:rsid w:val="00E110E0"/>
    <w:rsid w:val="00E11CEA"/>
    <w:rsid w:val="00E131EB"/>
    <w:rsid w:val="00E14131"/>
    <w:rsid w:val="00E14287"/>
    <w:rsid w:val="00E14596"/>
    <w:rsid w:val="00E15179"/>
    <w:rsid w:val="00E15371"/>
    <w:rsid w:val="00E20815"/>
    <w:rsid w:val="00E217F2"/>
    <w:rsid w:val="00E21D73"/>
    <w:rsid w:val="00E222FC"/>
    <w:rsid w:val="00E22757"/>
    <w:rsid w:val="00E23C08"/>
    <w:rsid w:val="00E24104"/>
    <w:rsid w:val="00E246E6"/>
    <w:rsid w:val="00E25275"/>
    <w:rsid w:val="00E256A1"/>
    <w:rsid w:val="00E257A9"/>
    <w:rsid w:val="00E2592E"/>
    <w:rsid w:val="00E259DA"/>
    <w:rsid w:val="00E302D0"/>
    <w:rsid w:val="00E305BF"/>
    <w:rsid w:val="00E30764"/>
    <w:rsid w:val="00E30B1D"/>
    <w:rsid w:val="00E30D4B"/>
    <w:rsid w:val="00E31793"/>
    <w:rsid w:val="00E325A7"/>
    <w:rsid w:val="00E3328B"/>
    <w:rsid w:val="00E335C3"/>
    <w:rsid w:val="00E34315"/>
    <w:rsid w:val="00E351F4"/>
    <w:rsid w:val="00E35707"/>
    <w:rsid w:val="00E35E3C"/>
    <w:rsid w:val="00E36449"/>
    <w:rsid w:val="00E364F0"/>
    <w:rsid w:val="00E36754"/>
    <w:rsid w:val="00E36AA1"/>
    <w:rsid w:val="00E375DA"/>
    <w:rsid w:val="00E37A68"/>
    <w:rsid w:val="00E37CCA"/>
    <w:rsid w:val="00E4040D"/>
    <w:rsid w:val="00E40D12"/>
    <w:rsid w:val="00E40FDF"/>
    <w:rsid w:val="00E41275"/>
    <w:rsid w:val="00E412B1"/>
    <w:rsid w:val="00E41300"/>
    <w:rsid w:val="00E4159B"/>
    <w:rsid w:val="00E416C3"/>
    <w:rsid w:val="00E41ECB"/>
    <w:rsid w:val="00E41F03"/>
    <w:rsid w:val="00E4210C"/>
    <w:rsid w:val="00E42A87"/>
    <w:rsid w:val="00E42F71"/>
    <w:rsid w:val="00E43978"/>
    <w:rsid w:val="00E43AB2"/>
    <w:rsid w:val="00E43CB7"/>
    <w:rsid w:val="00E4400D"/>
    <w:rsid w:val="00E450FA"/>
    <w:rsid w:val="00E45DC4"/>
    <w:rsid w:val="00E4682B"/>
    <w:rsid w:val="00E46B0D"/>
    <w:rsid w:val="00E47212"/>
    <w:rsid w:val="00E47BC0"/>
    <w:rsid w:val="00E47E3F"/>
    <w:rsid w:val="00E504AE"/>
    <w:rsid w:val="00E51489"/>
    <w:rsid w:val="00E529C4"/>
    <w:rsid w:val="00E5300F"/>
    <w:rsid w:val="00E53030"/>
    <w:rsid w:val="00E5311C"/>
    <w:rsid w:val="00E53CF1"/>
    <w:rsid w:val="00E54C54"/>
    <w:rsid w:val="00E54D6D"/>
    <w:rsid w:val="00E54FDB"/>
    <w:rsid w:val="00E5617D"/>
    <w:rsid w:val="00E5638E"/>
    <w:rsid w:val="00E563D7"/>
    <w:rsid w:val="00E56874"/>
    <w:rsid w:val="00E57108"/>
    <w:rsid w:val="00E57489"/>
    <w:rsid w:val="00E576D3"/>
    <w:rsid w:val="00E57BD4"/>
    <w:rsid w:val="00E57E5C"/>
    <w:rsid w:val="00E605E5"/>
    <w:rsid w:val="00E60636"/>
    <w:rsid w:val="00E6078C"/>
    <w:rsid w:val="00E608AD"/>
    <w:rsid w:val="00E617C3"/>
    <w:rsid w:val="00E62627"/>
    <w:rsid w:val="00E6326B"/>
    <w:rsid w:val="00E63300"/>
    <w:rsid w:val="00E6355E"/>
    <w:rsid w:val="00E6359C"/>
    <w:rsid w:val="00E63741"/>
    <w:rsid w:val="00E63BF5"/>
    <w:rsid w:val="00E64C55"/>
    <w:rsid w:val="00E655B6"/>
    <w:rsid w:val="00E662CD"/>
    <w:rsid w:val="00E66335"/>
    <w:rsid w:val="00E663F4"/>
    <w:rsid w:val="00E66578"/>
    <w:rsid w:val="00E666F2"/>
    <w:rsid w:val="00E6674F"/>
    <w:rsid w:val="00E66DD4"/>
    <w:rsid w:val="00E66F03"/>
    <w:rsid w:val="00E674CE"/>
    <w:rsid w:val="00E67DB8"/>
    <w:rsid w:val="00E704A4"/>
    <w:rsid w:val="00E706F9"/>
    <w:rsid w:val="00E70C08"/>
    <w:rsid w:val="00E70F23"/>
    <w:rsid w:val="00E71C54"/>
    <w:rsid w:val="00E72334"/>
    <w:rsid w:val="00E737FD"/>
    <w:rsid w:val="00E7417D"/>
    <w:rsid w:val="00E748CC"/>
    <w:rsid w:val="00E74917"/>
    <w:rsid w:val="00E74B57"/>
    <w:rsid w:val="00E74E18"/>
    <w:rsid w:val="00E751B8"/>
    <w:rsid w:val="00E75415"/>
    <w:rsid w:val="00E758E0"/>
    <w:rsid w:val="00E76074"/>
    <w:rsid w:val="00E768BB"/>
    <w:rsid w:val="00E76FC5"/>
    <w:rsid w:val="00E77352"/>
    <w:rsid w:val="00E773DF"/>
    <w:rsid w:val="00E775B1"/>
    <w:rsid w:val="00E77A5E"/>
    <w:rsid w:val="00E80126"/>
    <w:rsid w:val="00E803B3"/>
    <w:rsid w:val="00E80BF9"/>
    <w:rsid w:val="00E8112A"/>
    <w:rsid w:val="00E8152A"/>
    <w:rsid w:val="00E81D00"/>
    <w:rsid w:val="00E82D2F"/>
    <w:rsid w:val="00E82F73"/>
    <w:rsid w:val="00E830BA"/>
    <w:rsid w:val="00E8328C"/>
    <w:rsid w:val="00E8467A"/>
    <w:rsid w:val="00E849D5"/>
    <w:rsid w:val="00E85270"/>
    <w:rsid w:val="00E86F46"/>
    <w:rsid w:val="00E87F7D"/>
    <w:rsid w:val="00E87F90"/>
    <w:rsid w:val="00E90748"/>
    <w:rsid w:val="00E911A8"/>
    <w:rsid w:val="00E91567"/>
    <w:rsid w:val="00E92791"/>
    <w:rsid w:val="00E92E20"/>
    <w:rsid w:val="00E9320C"/>
    <w:rsid w:val="00E93629"/>
    <w:rsid w:val="00E936AC"/>
    <w:rsid w:val="00E93B5C"/>
    <w:rsid w:val="00E93BD6"/>
    <w:rsid w:val="00E94117"/>
    <w:rsid w:val="00E9436B"/>
    <w:rsid w:val="00E94CEC"/>
    <w:rsid w:val="00E95720"/>
    <w:rsid w:val="00E95B07"/>
    <w:rsid w:val="00E96900"/>
    <w:rsid w:val="00E96BE7"/>
    <w:rsid w:val="00E972C7"/>
    <w:rsid w:val="00E9739F"/>
    <w:rsid w:val="00E9794E"/>
    <w:rsid w:val="00EA04EF"/>
    <w:rsid w:val="00EA0960"/>
    <w:rsid w:val="00EA135C"/>
    <w:rsid w:val="00EA1A65"/>
    <w:rsid w:val="00EA1B89"/>
    <w:rsid w:val="00EA2F63"/>
    <w:rsid w:val="00EA3F9E"/>
    <w:rsid w:val="00EA418C"/>
    <w:rsid w:val="00EA52D5"/>
    <w:rsid w:val="00EA59BF"/>
    <w:rsid w:val="00EA5B17"/>
    <w:rsid w:val="00EA5FAC"/>
    <w:rsid w:val="00EA62D2"/>
    <w:rsid w:val="00EA64AB"/>
    <w:rsid w:val="00EA687B"/>
    <w:rsid w:val="00EA6F19"/>
    <w:rsid w:val="00EA73F4"/>
    <w:rsid w:val="00EB0B5E"/>
    <w:rsid w:val="00EB167D"/>
    <w:rsid w:val="00EB16DB"/>
    <w:rsid w:val="00EB2600"/>
    <w:rsid w:val="00EB2A56"/>
    <w:rsid w:val="00EB338D"/>
    <w:rsid w:val="00EB3509"/>
    <w:rsid w:val="00EB3C47"/>
    <w:rsid w:val="00EB3C74"/>
    <w:rsid w:val="00EB3D99"/>
    <w:rsid w:val="00EB4153"/>
    <w:rsid w:val="00EB53BC"/>
    <w:rsid w:val="00EB57F6"/>
    <w:rsid w:val="00EB5CC9"/>
    <w:rsid w:val="00EB66D1"/>
    <w:rsid w:val="00EB697A"/>
    <w:rsid w:val="00EB6D74"/>
    <w:rsid w:val="00EB7090"/>
    <w:rsid w:val="00EC1474"/>
    <w:rsid w:val="00EC1BBE"/>
    <w:rsid w:val="00EC2CF8"/>
    <w:rsid w:val="00EC2F66"/>
    <w:rsid w:val="00EC42B6"/>
    <w:rsid w:val="00EC4994"/>
    <w:rsid w:val="00EC5388"/>
    <w:rsid w:val="00EC58F7"/>
    <w:rsid w:val="00EC5CD7"/>
    <w:rsid w:val="00EC7CC4"/>
    <w:rsid w:val="00EC7FE5"/>
    <w:rsid w:val="00ED028C"/>
    <w:rsid w:val="00ED0624"/>
    <w:rsid w:val="00ED28B7"/>
    <w:rsid w:val="00ED3944"/>
    <w:rsid w:val="00ED3A77"/>
    <w:rsid w:val="00ED477B"/>
    <w:rsid w:val="00ED4B30"/>
    <w:rsid w:val="00ED4C1D"/>
    <w:rsid w:val="00ED5001"/>
    <w:rsid w:val="00ED53EC"/>
    <w:rsid w:val="00ED5406"/>
    <w:rsid w:val="00ED5F43"/>
    <w:rsid w:val="00ED67AD"/>
    <w:rsid w:val="00EE022E"/>
    <w:rsid w:val="00EE08CA"/>
    <w:rsid w:val="00EE1182"/>
    <w:rsid w:val="00EE1BBE"/>
    <w:rsid w:val="00EE298A"/>
    <w:rsid w:val="00EE2FDD"/>
    <w:rsid w:val="00EE35DA"/>
    <w:rsid w:val="00EE3EFE"/>
    <w:rsid w:val="00EE4410"/>
    <w:rsid w:val="00EE49F6"/>
    <w:rsid w:val="00EE4CA0"/>
    <w:rsid w:val="00EE5FB3"/>
    <w:rsid w:val="00EE6120"/>
    <w:rsid w:val="00EE70EA"/>
    <w:rsid w:val="00EE710F"/>
    <w:rsid w:val="00EE7591"/>
    <w:rsid w:val="00EE7A0D"/>
    <w:rsid w:val="00EE7F79"/>
    <w:rsid w:val="00EF0223"/>
    <w:rsid w:val="00EF0431"/>
    <w:rsid w:val="00EF095F"/>
    <w:rsid w:val="00EF0E54"/>
    <w:rsid w:val="00EF0F26"/>
    <w:rsid w:val="00EF1B0A"/>
    <w:rsid w:val="00EF1BC8"/>
    <w:rsid w:val="00EF20E4"/>
    <w:rsid w:val="00EF334B"/>
    <w:rsid w:val="00EF3A10"/>
    <w:rsid w:val="00EF404A"/>
    <w:rsid w:val="00EF4987"/>
    <w:rsid w:val="00EF4C9E"/>
    <w:rsid w:val="00EF622A"/>
    <w:rsid w:val="00EF6BBE"/>
    <w:rsid w:val="00EF6F9B"/>
    <w:rsid w:val="00EF6FD5"/>
    <w:rsid w:val="00EF715A"/>
    <w:rsid w:val="00EF716D"/>
    <w:rsid w:val="00F00490"/>
    <w:rsid w:val="00F021A4"/>
    <w:rsid w:val="00F029CD"/>
    <w:rsid w:val="00F03207"/>
    <w:rsid w:val="00F03A14"/>
    <w:rsid w:val="00F03D7F"/>
    <w:rsid w:val="00F03DE8"/>
    <w:rsid w:val="00F048AB"/>
    <w:rsid w:val="00F04CE6"/>
    <w:rsid w:val="00F04FB3"/>
    <w:rsid w:val="00F063CB"/>
    <w:rsid w:val="00F066BB"/>
    <w:rsid w:val="00F06E14"/>
    <w:rsid w:val="00F06FD6"/>
    <w:rsid w:val="00F104EE"/>
    <w:rsid w:val="00F11148"/>
    <w:rsid w:val="00F11660"/>
    <w:rsid w:val="00F11809"/>
    <w:rsid w:val="00F13068"/>
    <w:rsid w:val="00F131C4"/>
    <w:rsid w:val="00F14910"/>
    <w:rsid w:val="00F157C9"/>
    <w:rsid w:val="00F15806"/>
    <w:rsid w:val="00F15BFE"/>
    <w:rsid w:val="00F16026"/>
    <w:rsid w:val="00F16F31"/>
    <w:rsid w:val="00F173B6"/>
    <w:rsid w:val="00F17532"/>
    <w:rsid w:val="00F179D4"/>
    <w:rsid w:val="00F20448"/>
    <w:rsid w:val="00F20D2E"/>
    <w:rsid w:val="00F210C0"/>
    <w:rsid w:val="00F21574"/>
    <w:rsid w:val="00F215BB"/>
    <w:rsid w:val="00F21914"/>
    <w:rsid w:val="00F21F53"/>
    <w:rsid w:val="00F22681"/>
    <w:rsid w:val="00F23532"/>
    <w:rsid w:val="00F24C85"/>
    <w:rsid w:val="00F24DE9"/>
    <w:rsid w:val="00F255D8"/>
    <w:rsid w:val="00F25D66"/>
    <w:rsid w:val="00F268C4"/>
    <w:rsid w:val="00F2691D"/>
    <w:rsid w:val="00F2704B"/>
    <w:rsid w:val="00F27917"/>
    <w:rsid w:val="00F31F27"/>
    <w:rsid w:val="00F32235"/>
    <w:rsid w:val="00F32B5C"/>
    <w:rsid w:val="00F33C56"/>
    <w:rsid w:val="00F33C89"/>
    <w:rsid w:val="00F33D0F"/>
    <w:rsid w:val="00F342D2"/>
    <w:rsid w:val="00F347C7"/>
    <w:rsid w:val="00F34848"/>
    <w:rsid w:val="00F349AA"/>
    <w:rsid w:val="00F349E0"/>
    <w:rsid w:val="00F34A96"/>
    <w:rsid w:val="00F35B00"/>
    <w:rsid w:val="00F35D15"/>
    <w:rsid w:val="00F35DEF"/>
    <w:rsid w:val="00F3621E"/>
    <w:rsid w:val="00F369CE"/>
    <w:rsid w:val="00F36B41"/>
    <w:rsid w:val="00F40063"/>
    <w:rsid w:val="00F407B0"/>
    <w:rsid w:val="00F41A04"/>
    <w:rsid w:val="00F41C31"/>
    <w:rsid w:val="00F41E17"/>
    <w:rsid w:val="00F4202B"/>
    <w:rsid w:val="00F42AB8"/>
    <w:rsid w:val="00F42D46"/>
    <w:rsid w:val="00F42E07"/>
    <w:rsid w:val="00F43889"/>
    <w:rsid w:val="00F4496C"/>
    <w:rsid w:val="00F449B0"/>
    <w:rsid w:val="00F44F3A"/>
    <w:rsid w:val="00F44F65"/>
    <w:rsid w:val="00F45C16"/>
    <w:rsid w:val="00F46B37"/>
    <w:rsid w:val="00F46EA9"/>
    <w:rsid w:val="00F503AE"/>
    <w:rsid w:val="00F50437"/>
    <w:rsid w:val="00F5063F"/>
    <w:rsid w:val="00F50D32"/>
    <w:rsid w:val="00F51F10"/>
    <w:rsid w:val="00F522DC"/>
    <w:rsid w:val="00F529A5"/>
    <w:rsid w:val="00F55892"/>
    <w:rsid w:val="00F55B3C"/>
    <w:rsid w:val="00F55CD9"/>
    <w:rsid w:val="00F56B00"/>
    <w:rsid w:val="00F56D4C"/>
    <w:rsid w:val="00F57787"/>
    <w:rsid w:val="00F60352"/>
    <w:rsid w:val="00F603AA"/>
    <w:rsid w:val="00F60F00"/>
    <w:rsid w:val="00F610C4"/>
    <w:rsid w:val="00F6121B"/>
    <w:rsid w:val="00F614C0"/>
    <w:rsid w:val="00F61BE2"/>
    <w:rsid w:val="00F62040"/>
    <w:rsid w:val="00F63049"/>
    <w:rsid w:val="00F636A9"/>
    <w:rsid w:val="00F63A10"/>
    <w:rsid w:val="00F64116"/>
    <w:rsid w:val="00F642DB"/>
    <w:rsid w:val="00F648AD"/>
    <w:rsid w:val="00F64B58"/>
    <w:rsid w:val="00F65481"/>
    <w:rsid w:val="00F656B5"/>
    <w:rsid w:val="00F65810"/>
    <w:rsid w:val="00F65DA1"/>
    <w:rsid w:val="00F65DE1"/>
    <w:rsid w:val="00F65E8D"/>
    <w:rsid w:val="00F65F83"/>
    <w:rsid w:val="00F66522"/>
    <w:rsid w:val="00F67B2D"/>
    <w:rsid w:val="00F67C41"/>
    <w:rsid w:val="00F67D15"/>
    <w:rsid w:val="00F67E85"/>
    <w:rsid w:val="00F70900"/>
    <w:rsid w:val="00F70A22"/>
    <w:rsid w:val="00F70F09"/>
    <w:rsid w:val="00F716FB"/>
    <w:rsid w:val="00F71D33"/>
    <w:rsid w:val="00F7244F"/>
    <w:rsid w:val="00F72652"/>
    <w:rsid w:val="00F7333F"/>
    <w:rsid w:val="00F73393"/>
    <w:rsid w:val="00F74066"/>
    <w:rsid w:val="00F7439E"/>
    <w:rsid w:val="00F74E38"/>
    <w:rsid w:val="00F76785"/>
    <w:rsid w:val="00F7709E"/>
    <w:rsid w:val="00F77FA7"/>
    <w:rsid w:val="00F807DE"/>
    <w:rsid w:val="00F808AA"/>
    <w:rsid w:val="00F80E09"/>
    <w:rsid w:val="00F80FB1"/>
    <w:rsid w:val="00F81DC1"/>
    <w:rsid w:val="00F831CE"/>
    <w:rsid w:val="00F83848"/>
    <w:rsid w:val="00F83EBA"/>
    <w:rsid w:val="00F83FE6"/>
    <w:rsid w:val="00F84899"/>
    <w:rsid w:val="00F84A8F"/>
    <w:rsid w:val="00F84DD4"/>
    <w:rsid w:val="00F850E7"/>
    <w:rsid w:val="00F85642"/>
    <w:rsid w:val="00F866D7"/>
    <w:rsid w:val="00F868F2"/>
    <w:rsid w:val="00F86A10"/>
    <w:rsid w:val="00F871E4"/>
    <w:rsid w:val="00F87685"/>
    <w:rsid w:val="00F87691"/>
    <w:rsid w:val="00F87F42"/>
    <w:rsid w:val="00F9032D"/>
    <w:rsid w:val="00F90BA2"/>
    <w:rsid w:val="00F9107A"/>
    <w:rsid w:val="00F91A30"/>
    <w:rsid w:val="00F9206E"/>
    <w:rsid w:val="00F938A7"/>
    <w:rsid w:val="00F93E07"/>
    <w:rsid w:val="00F95E53"/>
    <w:rsid w:val="00F95F64"/>
    <w:rsid w:val="00F96BE2"/>
    <w:rsid w:val="00F9709B"/>
    <w:rsid w:val="00F97173"/>
    <w:rsid w:val="00F975E9"/>
    <w:rsid w:val="00F9779D"/>
    <w:rsid w:val="00F97D59"/>
    <w:rsid w:val="00FA0B97"/>
    <w:rsid w:val="00FA1030"/>
    <w:rsid w:val="00FA1B7D"/>
    <w:rsid w:val="00FA20BF"/>
    <w:rsid w:val="00FA2957"/>
    <w:rsid w:val="00FA350F"/>
    <w:rsid w:val="00FA47F2"/>
    <w:rsid w:val="00FA484C"/>
    <w:rsid w:val="00FA581F"/>
    <w:rsid w:val="00FA5ADE"/>
    <w:rsid w:val="00FA5C7E"/>
    <w:rsid w:val="00FA6324"/>
    <w:rsid w:val="00FA6837"/>
    <w:rsid w:val="00FA6B5B"/>
    <w:rsid w:val="00FA6BEC"/>
    <w:rsid w:val="00FA7157"/>
    <w:rsid w:val="00FA73CF"/>
    <w:rsid w:val="00FA7A83"/>
    <w:rsid w:val="00FA7B20"/>
    <w:rsid w:val="00FA7F13"/>
    <w:rsid w:val="00FB0028"/>
    <w:rsid w:val="00FB0427"/>
    <w:rsid w:val="00FB05C9"/>
    <w:rsid w:val="00FB0E4A"/>
    <w:rsid w:val="00FB0E88"/>
    <w:rsid w:val="00FB14AF"/>
    <w:rsid w:val="00FB1D8C"/>
    <w:rsid w:val="00FB2845"/>
    <w:rsid w:val="00FB338B"/>
    <w:rsid w:val="00FB3DD3"/>
    <w:rsid w:val="00FB68CB"/>
    <w:rsid w:val="00FB6AD1"/>
    <w:rsid w:val="00FB6B0A"/>
    <w:rsid w:val="00FB6D24"/>
    <w:rsid w:val="00FB742D"/>
    <w:rsid w:val="00FB75A6"/>
    <w:rsid w:val="00FB7724"/>
    <w:rsid w:val="00FC07B9"/>
    <w:rsid w:val="00FC1306"/>
    <w:rsid w:val="00FC18FA"/>
    <w:rsid w:val="00FC1D23"/>
    <w:rsid w:val="00FC1E04"/>
    <w:rsid w:val="00FC268E"/>
    <w:rsid w:val="00FC2DE9"/>
    <w:rsid w:val="00FC2E86"/>
    <w:rsid w:val="00FC315A"/>
    <w:rsid w:val="00FC4487"/>
    <w:rsid w:val="00FC44D3"/>
    <w:rsid w:val="00FC48EA"/>
    <w:rsid w:val="00FC4E21"/>
    <w:rsid w:val="00FC5F1B"/>
    <w:rsid w:val="00FC5F6D"/>
    <w:rsid w:val="00FC654E"/>
    <w:rsid w:val="00FC6AAE"/>
    <w:rsid w:val="00FD0107"/>
    <w:rsid w:val="00FD0986"/>
    <w:rsid w:val="00FD13E4"/>
    <w:rsid w:val="00FD147A"/>
    <w:rsid w:val="00FD15C4"/>
    <w:rsid w:val="00FD214F"/>
    <w:rsid w:val="00FD218A"/>
    <w:rsid w:val="00FD2362"/>
    <w:rsid w:val="00FD25FD"/>
    <w:rsid w:val="00FD2C2F"/>
    <w:rsid w:val="00FD3A80"/>
    <w:rsid w:val="00FD3B31"/>
    <w:rsid w:val="00FD3D58"/>
    <w:rsid w:val="00FD4AB9"/>
    <w:rsid w:val="00FD5A69"/>
    <w:rsid w:val="00FD6356"/>
    <w:rsid w:val="00FD665A"/>
    <w:rsid w:val="00FD67D3"/>
    <w:rsid w:val="00FD7639"/>
    <w:rsid w:val="00FD79AD"/>
    <w:rsid w:val="00FE00F0"/>
    <w:rsid w:val="00FE010A"/>
    <w:rsid w:val="00FE0565"/>
    <w:rsid w:val="00FE0D39"/>
    <w:rsid w:val="00FE1823"/>
    <w:rsid w:val="00FE2593"/>
    <w:rsid w:val="00FE2BE0"/>
    <w:rsid w:val="00FE2F73"/>
    <w:rsid w:val="00FE2F8A"/>
    <w:rsid w:val="00FE31F4"/>
    <w:rsid w:val="00FE36EC"/>
    <w:rsid w:val="00FE4764"/>
    <w:rsid w:val="00FE487A"/>
    <w:rsid w:val="00FE4E15"/>
    <w:rsid w:val="00FE5F71"/>
    <w:rsid w:val="00FE6142"/>
    <w:rsid w:val="00FE6972"/>
    <w:rsid w:val="00FE77BD"/>
    <w:rsid w:val="00FF01E8"/>
    <w:rsid w:val="00FF0569"/>
    <w:rsid w:val="00FF131C"/>
    <w:rsid w:val="00FF206E"/>
    <w:rsid w:val="00FF21B8"/>
    <w:rsid w:val="00FF289F"/>
    <w:rsid w:val="00FF28DD"/>
    <w:rsid w:val="00FF2943"/>
    <w:rsid w:val="00FF3332"/>
    <w:rsid w:val="00FF3492"/>
    <w:rsid w:val="00FF3B1A"/>
    <w:rsid w:val="00FF3B30"/>
    <w:rsid w:val="00FF3C69"/>
    <w:rsid w:val="00FF3EFD"/>
    <w:rsid w:val="00FF4080"/>
    <w:rsid w:val="00FF4136"/>
    <w:rsid w:val="00FF4735"/>
    <w:rsid w:val="00FF6747"/>
    <w:rsid w:val="00FF6B75"/>
    <w:rsid w:val="00FF6BAF"/>
    <w:rsid w:val="00FF6E0A"/>
    <w:rsid w:val="00FF7AA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290B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99"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uiPriority="67"/>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Emphasis" w:uiPriority="21"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link w:val="Heading4Char"/>
    <w:qFormat/>
    <w:rsid w:val="00872AFA"/>
    <w:pPr>
      <w:keepNext/>
      <w:spacing w:before="240" w:after="60"/>
      <w:ind w:left="288"/>
      <w:outlineLvl w:val="3"/>
    </w:pPr>
    <w:rPr>
      <w:rFonts w:ascii="Times New Roman" w:hAnsi="Times New Roman"/>
      <w:b/>
      <w:bCs/>
      <w:szCs w:val="20"/>
    </w:rPr>
  </w:style>
  <w:style w:type="paragraph" w:styleId="Heading5">
    <w:name w:val="heading 5"/>
    <w:basedOn w:val="Normal"/>
    <w:next w:val="Normal"/>
    <w:link w:val="Heading5Char"/>
    <w:qFormat/>
    <w:rsid w:val="00B14DB9"/>
    <w:pPr>
      <w:keepNext/>
      <w:spacing w:before="240" w:after="60"/>
      <w:outlineLvl w:val="4"/>
    </w:pPr>
    <w:rPr>
      <w:b/>
      <w:bCs/>
      <w:i/>
      <w:iCs/>
      <w:sz w:val="18"/>
      <w:szCs w:val="18"/>
    </w:rPr>
  </w:style>
  <w:style w:type="paragraph" w:styleId="Heading6">
    <w:name w:val="heading 6"/>
    <w:basedOn w:val="Normal"/>
    <w:next w:val="Normal"/>
    <w:link w:val="Heading6Char"/>
    <w:qFormat/>
    <w:rsid w:val="00AD5436"/>
    <w:pPr>
      <w:spacing w:before="240" w:after="60"/>
      <w:ind w:left="1152" w:hanging="432"/>
      <w:outlineLvl w:val="5"/>
    </w:pPr>
    <w:rPr>
      <w:rFonts w:ascii="Times New Roman" w:hAnsi="Times New Roman"/>
      <w:b/>
      <w:bCs/>
      <w:sz w:val="22"/>
      <w:szCs w:val="22"/>
    </w:rPr>
  </w:style>
  <w:style w:type="paragraph" w:styleId="Heading7">
    <w:name w:val="heading 7"/>
    <w:basedOn w:val="Normal"/>
    <w:next w:val="Normal"/>
    <w:link w:val="Heading7Char"/>
    <w:qFormat/>
    <w:rsid w:val="00AD5436"/>
    <w:pPr>
      <w:spacing w:before="240" w:after="60"/>
      <w:ind w:left="1296" w:hanging="288"/>
      <w:outlineLvl w:val="6"/>
    </w:pPr>
    <w:rPr>
      <w:rFonts w:ascii="Times New Roman" w:hAnsi="Times New Roman"/>
      <w:sz w:val="24"/>
    </w:rPr>
  </w:style>
  <w:style w:type="paragraph" w:styleId="Heading8">
    <w:name w:val="heading 8"/>
    <w:basedOn w:val="Normal"/>
    <w:next w:val="Normal"/>
    <w:semiHidden/>
    <w:qFormat/>
    <w:rsid w:val="00AD5436"/>
    <w:pPr>
      <w:spacing w:before="240" w:after="60"/>
      <w:ind w:left="1440" w:hanging="432"/>
      <w:outlineLvl w:val="7"/>
    </w:pPr>
    <w:rPr>
      <w:rFonts w:ascii="Times New Roman" w:hAnsi="Times New Roman"/>
      <w:i/>
      <w:iCs/>
      <w:sz w:val="24"/>
    </w:rPr>
  </w:style>
  <w:style w:type="paragraph" w:styleId="Heading9">
    <w:name w:val="heading 9"/>
    <w:basedOn w:val="Normal"/>
    <w:next w:val="Normal"/>
    <w:semiHidden/>
    <w:qFormat/>
    <w:rsid w:val="00AD5436"/>
    <w:pPr>
      <w:spacing w:before="240" w:after="60"/>
      <w:ind w:left="1584" w:hanging="14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B747E1"/>
    <w:pPr>
      <w:keepNext/>
      <w:keepLines/>
      <w:spacing w:after="0"/>
    </w:pPr>
    <w:rPr>
      <w:b/>
      <w:color w:val="FFFFFF" w:themeColor="background1"/>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link w:val="CaptionChar"/>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link w:val="ListBulletChar"/>
    <w:qFormat/>
    <w:rsid w:val="00A140B6"/>
    <w:pPr>
      <w:numPr>
        <w:numId w:val="44"/>
      </w:numPr>
      <w:spacing w:after="80"/>
    </w:pPr>
  </w:style>
  <w:style w:type="paragraph" w:styleId="ListBullet2">
    <w:name w:val="List Bullet 2"/>
    <w:basedOn w:val="Normal"/>
    <w:qFormat/>
    <w:rsid w:val="00294C5C"/>
    <w:pPr>
      <w:spacing w:after="80"/>
      <w:ind w:left="720" w:hanging="360"/>
    </w:pPr>
  </w:style>
  <w:style w:type="paragraph" w:styleId="ListNumber">
    <w:name w:val="List Number"/>
    <w:basedOn w:val="Normal"/>
    <w:qFormat/>
    <w:rsid w:val="003D0F3F"/>
    <w:pPr>
      <w:numPr>
        <w:numId w:val="14"/>
      </w:numPr>
      <w:shd w:val="clear" w:color="auto" w:fill="F2F2F2" w:themeFill="background1" w:themeFillShade="F2"/>
      <w:spacing w:after="80"/>
    </w:pPr>
    <w:rPr>
      <w:b/>
    </w:rPr>
  </w:style>
  <w:style w:type="paragraph" w:styleId="ListNumber2">
    <w:name w:val="List Number 2"/>
    <w:basedOn w:val="Normal"/>
    <w:qFormat/>
    <w:rsid w:val="00247C59"/>
    <w:pPr>
      <w:numPr>
        <w:numId w:val="3"/>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rsid w:val="00566AB4"/>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ALTS FOOTNOTE"/>
    <w:basedOn w:val="Normal"/>
    <w:link w:val="FootnoteTextChar"/>
    <w:uiPriority w:val="99"/>
    <w:rsid w:val="0037046B"/>
    <w:pPr>
      <w:spacing w:after="0" w:line="200" w:lineRule="atLeast"/>
    </w:pPr>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uiPriority w:val="99"/>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D38C1"/>
    <w:pPr>
      <w:numPr>
        <w:numId w:val="46"/>
      </w:numPr>
      <w:tabs>
        <w:tab w:val="clear" w:pos="964"/>
        <w:tab w:val="num" w:pos="3091"/>
      </w:tabs>
      <w:spacing w:after="160" w:line="240" w:lineRule="atLeast"/>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CF75B8"/>
    <w:pPr>
      <w:numPr>
        <w:numId w:val="45"/>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uiPriority w:val="99"/>
    <w:rsid w:val="00971914"/>
    <w:rPr>
      <w:rFonts w:ascii="Arial" w:hAnsi="Arial"/>
      <w:sz w:val="16"/>
    </w:rPr>
  </w:style>
  <w:style w:type="character" w:customStyle="1" w:styleId="Heading2Char">
    <w:name w:val="Heading 2 Char"/>
    <w:basedOn w:val="DefaultParagraphFont"/>
    <w:link w:val="Heading2"/>
    <w:rsid w:val="00835321"/>
    <w:rPr>
      <w:rFonts w:ascii="Arial" w:hAnsi="Arial" w:cs="Arial"/>
      <w:b/>
      <w:bCs/>
      <w:iCs/>
      <w:sz w:val="28"/>
      <w:szCs w:val="28"/>
    </w:rPr>
  </w:style>
  <w:style w:type="character" w:customStyle="1" w:styleId="Heading3Char">
    <w:name w:val="Heading 3 Char"/>
    <w:basedOn w:val="DefaultParagraphFont"/>
    <w:link w:val="Heading3"/>
    <w:rsid w:val="00835321"/>
    <w:rPr>
      <w:rFonts w:ascii="Arial" w:hAnsi="Arial" w:cs="Arial"/>
      <w:b/>
      <w:bCs/>
      <w:sz w:val="20"/>
      <w:szCs w:val="26"/>
    </w:rPr>
  </w:style>
  <w:style w:type="character" w:customStyle="1" w:styleId="Heading1Char">
    <w:name w:val="Heading 1 Char"/>
    <w:basedOn w:val="DefaultParagraphFont"/>
    <w:link w:val="Heading1"/>
    <w:rsid w:val="00835321"/>
    <w:rPr>
      <w:rFonts w:ascii="Arial" w:hAnsi="Arial" w:cs="Arial"/>
      <w:bCs/>
      <w:color w:val="323232"/>
      <w:kern w:val="32"/>
      <w:sz w:val="53"/>
      <w:szCs w:val="32"/>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ALTS FOOTNOTE Char"/>
    <w:basedOn w:val="DefaultParagraphFont"/>
    <w:link w:val="FootnoteText"/>
    <w:uiPriority w:val="99"/>
    <w:rsid w:val="0037046B"/>
    <w:rPr>
      <w:rFonts w:ascii="Arial" w:hAnsi="Arial"/>
      <w:sz w:val="16"/>
      <w:szCs w:val="16"/>
    </w:rPr>
  </w:style>
  <w:style w:type="paragraph" w:styleId="Title">
    <w:name w:val="Title"/>
    <w:basedOn w:val="Normal"/>
    <w:next w:val="Normal"/>
    <w:link w:val="TitleChar"/>
    <w:uiPriority w:val="10"/>
    <w:qFormat/>
    <w:rsid w:val="00835321"/>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35321"/>
    <w:rPr>
      <w:rFonts w:asciiTheme="majorHAnsi" w:eastAsiaTheme="majorEastAsia" w:hAnsiTheme="majorHAnsi" w:cstheme="majorBidi"/>
      <w:spacing w:val="-10"/>
      <w:kern w:val="28"/>
      <w:sz w:val="56"/>
      <w:szCs w:val="56"/>
      <w:lang w:eastAsia="en-US"/>
    </w:rPr>
  </w:style>
  <w:style w:type="character" w:customStyle="1" w:styleId="Heading4Char">
    <w:name w:val="Heading 4 Char"/>
    <w:basedOn w:val="DefaultParagraphFont"/>
    <w:link w:val="Heading4"/>
    <w:rsid w:val="00872AFA"/>
    <w:rPr>
      <w:b/>
      <w:bCs/>
      <w:sz w:val="20"/>
      <w:szCs w:val="20"/>
    </w:rPr>
  </w:style>
  <w:style w:type="paragraph" w:styleId="ListParagraph">
    <w:name w:val="List Paragraph"/>
    <w:aliases w:val="List Paragraph1,List Paragraph11,Recommendation,bullet point list,L,CV text,Dot pt,F5 List Paragraph,No Spacing1,List Paragraph Char Char Char,Indicator Text,Numbered Para 1,List Paragraph12,Bullet Points,MAIN CONTENT,ACMA_ListParagraph"/>
    <w:basedOn w:val="Normal"/>
    <w:link w:val="ListParagraphChar"/>
    <w:uiPriority w:val="34"/>
    <w:qFormat/>
    <w:rsid w:val="0083532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Recommendation Char,bullet point list Char,L Char,CV text Char,Dot pt Char,F5 List Paragraph Char,No Spacing1 Char,List Paragraph Char Char Char Char,Indicator Text Char,Numbered Para 1 Char"/>
    <w:basedOn w:val="DefaultParagraphFont"/>
    <w:link w:val="ListParagraph"/>
    <w:uiPriority w:val="34"/>
    <w:rsid w:val="00835321"/>
    <w:rPr>
      <w:rFonts w:asciiTheme="minorHAnsi" w:eastAsiaTheme="minorHAnsi" w:hAnsiTheme="minorHAnsi" w:cstheme="minorBidi"/>
      <w:sz w:val="22"/>
      <w:szCs w:val="22"/>
      <w:lang w:eastAsia="en-US"/>
    </w:rPr>
  </w:style>
  <w:style w:type="character" w:customStyle="1" w:styleId="s1">
    <w:name w:val="s1"/>
    <w:basedOn w:val="DefaultParagraphFont"/>
    <w:rsid w:val="00835321"/>
    <w:rPr>
      <w:rFonts w:ascii=".SFUIText" w:hAnsi=".SFUIText" w:hint="default"/>
      <w:b w:val="0"/>
      <w:bCs w:val="0"/>
      <w:i w:val="0"/>
      <w:iCs w:val="0"/>
    </w:rPr>
  </w:style>
  <w:style w:type="character" w:customStyle="1" w:styleId="tgc">
    <w:name w:val="_tgc"/>
    <w:basedOn w:val="DefaultParagraphFont"/>
    <w:rsid w:val="00835321"/>
  </w:style>
  <w:style w:type="character" w:customStyle="1" w:styleId="s2">
    <w:name w:val="s2"/>
    <w:basedOn w:val="DefaultParagraphFont"/>
    <w:rsid w:val="00835321"/>
    <w:rPr>
      <w:color w:val="3789BD"/>
      <w:u w:val="single"/>
    </w:rPr>
  </w:style>
  <w:style w:type="character" w:styleId="IntenseEmphasis">
    <w:name w:val="Intense Emphasis"/>
    <w:basedOn w:val="DefaultParagraphFont"/>
    <w:uiPriority w:val="21"/>
    <w:qFormat/>
    <w:rsid w:val="00B94C86"/>
    <w:rPr>
      <w:i/>
      <w:iCs/>
      <w:color w:val="4F81BD" w:themeColor="accent1"/>
    </w:rPr>
  </w:style>
  <w:style w:type="table" w:customStyle="1" w:styleId="TableGrid2">
    <w:name w:val="Table Grid2"/>
    <w:basedOn w:val="TableNormal"/>
    <w:next w:val="TableGrid"/>
    <w:uiPriority w:val="59"/>
    <w:rsid w:val="00B94C86"/>
    <w:pPr>
      <w:spacing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NumberedList">
    <w:name w:val="ACMA Numbered List"/>
    <w:rsid w:val="00B94C86"/>
    <w:pPr>
      <w:spacing w:before="20" w:after="20"/>
    </w:pPr>
    <w:rPr>
      <w:szCs w:val="20"/>
      <w:lang w:eastAsia="en-US"/>
    </w:rPr>
  </w:style>
  <w:style w:type="paragraph" w:customStyle="1" w:styleId="Default">
    <w:name w:val="Default"/>
    <w:rsid w:val="00B94C86"/>
    <w:pPr>
      <w:autoSpaceDE w:val="0"/>
      <w:autoSpaceDN w:val="0"/>
      <w:adjustRightInd w:val="0"/>
    </w:pPr>
    <w:rPr>
      <w:rFonts w:ascii="Arial" w:eastAsiaTheme="minorHAnsi" w:hAnsi="Arial" w:cs="Arial"/>
      <w:color w:val="000000"/>
      <w:lang w:eastAsia="en-US"/>
    </w:rPr>
  </w:style>
  <w:style w:type="paragraph" w:styleId="PlainText">
    <w:name w:val="Plain Text"/>
    <w:basedOn w:val="Normal"/>
    <w:link w:val="PlainTextChar"/>
    <w:uiPriority w:val="99"/>
    <w:semiHidden/>
    <w:unhideWhenUsed/>
    <w:rsid w:val="00B94C86"/>
    <w:pPr>
      <w:spacing w:after="0"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94C86"/>
    <w:rPr>
      <w:rFonts w:ascii="Calibri" w:eastAsiaTheme="minorHAnsi" w:hAnsi="Calibri" w:cstheme="minorBidi"/>
      <w:sz w:val="22"/>
      <w:szCs w:val="21"/>
      <w:lang w:eastAsia="en-US"/>
    </w:rPr>
  </w:style>
  <w:style w:type="paragraph" w:customStyle="1" w:styleId="p1">
    <w:name w:val="p1"/>
    <w:basedOn w:val="Normal"/>
    <w:rsid w:val="00B94C86"/>
    <w:pPr>
      <w:spacing w:after="0" w:line="240" w:lineRule="auto"/>
    </w:pPr>
    <w:rPr>
      <w:rFonts w:ascii=".SF UI Text" w:eastAsiaTheme="minorHAnsi" w:hAnsi=".SF UI Text"/>
      <w:color w:val="454545"/>
      <w:sz w:val="26"/>
      <w:szCs w:val="26"/>
    </w:rPr>
  </w:style>
  <w:style w:type="paragraph" w:customStyle="1" w:styleId="p2">
    <w:name w:val="p2"/>
    <w:basedOn w:val="Normal"/>
    <w:rsid w:val="00B94C86"/>
    <w:pPr>
      <w:spacing w:after="0" w:line="240" w:lineRule="auto"/>
    </w:pPr>
    <w:rPr>
      <w:rFonts w:ascii=".SF UI Text" w:eastAsiaTheme="minorHAnsi" w:hAnsi=".SF UI Text"/>
      <w:color w:val="454545"/>
      <w:sz w:val="26"/>
      <w:szCs w:val="26"/>
    </w:rPr>
  </w:style>
  <w:style w:type="character" w:customStyle="1" w:styleId="apple-converted-space">
    <w:name w:val="apple-converted-space"/>
    <w:basedOn w:val="DefaultParagraphFont"/>
    <w:rsid w:val="00B94C86"/>
  </w:style>
  <w:style w:type="character" w:customStyle="1" w:styleId="Heading5Char">
    <w:name w:val="Heading 5 Char"/>
    <w:basedOn w:val="DefaultParagraphFont"/>
    <w:link w:val="Heading5"/>
    <w:rsid w:val="00B14DB9"/>
    <w:rPr>
      <w:rFonts w:ascii="Arial" w:hAnsi="Arial"/>
      <w:b/>
      <w:bCs/>
      <w:i/>
      <w:iCs/>
      <w:sz w:val="18"/>
      <w:szCs w:val="18"/>
    </w:rPr>
  </w:style>
  <w:style w:type="character" w:customStyle="1" w:styleId="Heading6Char">
    <w:name w:val="Heading 6 Char"/>
    <w:basedOn w:val="DefaultParagraphFont"/>
    <w:link w:val="Heading6"/>
    <w:rsid w:val="00B94C86"/>
    <w:rPr>
      <w:b/>
      <w:bCs/>
      <w:sz w:val="22"/>
      <w:szCs w:val="22"/>
    </w:rPr>
  </w:style>
  <w:style w:type="paragraph" w:customStyle="1" w:styleId="Bullet1">
    <w:name w:val="Bullet 1"/>
    <w:basedOn w:val="ListBullet2"/>
    <w:qFormat/>
    <w:rsid w:val="00B94C86"/>
    <w:pPr>
      <w:spacing w:after="240" w:line="240" w:lineRule="auto"/>
      <w:ind w:left="567" w:hanging="567"/>
      <w:contextualSpacing/>
    </w:pPr>
    <w:rPr>
      <w:rFonts w:ascii="Calibri" w:eastAsia="Calibri" w:hAnsi="Calibri" w:cs="Calibri"/>
      <w:w w:val="105"/>
      <w:kern w:val="40"/>
      <w:sz w:val="22"/>
      <w:szCs w:val="22"/>
      <w:lang w:eastAsia="en-US"/>
    </w:rPr>
  </w:style>
  <w:style w:type="paragraph" w:styleId="NormalWeb">
    <w:name w:val="Normal (Web)"/>
    <w:basedOn w:val="Normal"/>
    <w:uiPriority w:val="99"/>
    <w:unhideWhenUsed/>
    <w:rsid w:val="00B94C86"/>
    <w:pPr>
      <w:spacing w:line="240" w:lineRule="auto"/>
    </w:pPr>
    <w:rPr>
      <w:rFonts w:ascii="Times New Roman" w:hAnsi="Times New Roman"/>
      <w:sz w:val="24"/>
    </w:rPr>
  </w:style>
  <w:style w:type="paragraph" w:customStyle="1" w:styleId="ACMABulletLevel1">
    <w:name w:val="ACMA Bullet Level 1"/>
    <w:rsid w:val="00B94C86"/>
    <w:pPr>
      <w:numPr>
        <w:numId w:val="10"/>
      </w:numPr>
      <w:spacing w:after="120"/>
    </w:pPr>
    <w:rPr>
      <w:szCs w:val="20"/>
      <w:lang w:eastAsia="en-US"/>
    </w:rPr>
  </w:style>
  <w:style w:type="table" w:customStyle="1" w:styleId="TableGrid1">
    <w:name w:val="Table Grid1"/>
    <w:basedOn w:val="TableNormal"/>
    <w:next w:val="TableGrid"/>
    <w:uiPriority w:val="59"/>
    <w:rsid w:val="00B94C86"/>
    <w:pPr>
      <w:spacing w:before="80" w:after="120"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4C86"/>
    <w:rPr>
      <w:rFonts w:asciiTheme="minorHAnsi" w:eastAsiaTheme="minorHAnsi" w:hAnsiTheme="minorHAnsi" w:cstheme="minorBidi"/>
      <w:sz w:val="22"/>
      <w:szCs w:val="22"/>
      <w:lang w:eastAsia="en-US"/>
    </w:rPr>
  </w:style>
  <w:style w:type="paragraph" w:styleId="Subtitle">
    <w:name w:val="Subtitle"/>
    <w:basedOn w:val="Normal"/>
    <w:next w:val="Normal"/>
    <w:link w:val="SubtitleChar"/>
    <w:uiPriority w:val="11"/>
    <w:qFormat/>
    <w:rsid w:val="00B94C86"/>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B94C86"/>
    <w:rPr>
      <w:rFonts w:asciiTheme="minorHAnsi" w:eastAsiaTheme="minorEastAsia" w:hAnsiTheme="minorHAnsi" w:cstheme="minorBidi"/>
      <w:color w:val="5A5A5A" w:themeColor="text1" w:themeTint="A5"/>
      <w:spacing w:val="15"/>
      <w:sz w:val="22"/>
      <w:szCs w:val="22"/>
      <w:lang w:eastAsia="en-US"/>
    </w:rPr>
  </w:style>
  <w:style w:type="character" w:customStyle="1" w:styleId="Heading7Char">
    <w:name w:val="Heading 7 Char"/>
    <w:basedOn w:val="DefaultParagraphFont"/>
    <w:link w:val="Heading7"/>
    <w:rsid w:val="00B94C86"/>
  </w:style>
  <w:style w:type="paragraph" w:styleId="NoSpacing">
    <w:name w:val="No Spacing"/>
    <w:link w:val="NoSpacingChar"/>
    <w:uiPriority w:val="1"/>
    <w:qFormat/>
    <w:rsid w:val="00B94C86"/>
    <w:rPr>
      <w:rFonts w:ascii="Arial" w:hAnsi="Arial"/>
      <w:sz w:val="20"/>
    </w:rPr>
  </w:style>
  <w:style w:type="paragraph" w:customStyle="1" w:styleId="ACMABodyText">
    <w:name w:val="ACMA Body Text"/>
    <w:link w:val="ACMABodyTextChar"/>
    <w:qFormat/>
    <w:rsid w:val="00B94C86"/>
    <w:pPr>
      <w:suppressAutoHyphens/>
      <w:spacing w:before="80" w:after="120" w:line="280" w:lineRule="atLeast"/>
    </w:pPr>
    <w:rPr>
      <w:snapToGrid w:val="0"/>
      <w:szCs w:val="20"/>
      <w:lang w:eastAsia="en-US"/>
    </w:rPr>
  </w:style>
  <w:style w:type="character" w:customStyle="1" w:styleId="ACMABodyTextChar">
    <w:name w:val="ACMA Body Text Char"/>
    <w:basedOn w:val="DefaultParagraphFont"/>
    <w:link w:val="ACMABodyText"/>
    <w:rsid w:val="00B94C86"/>
    <w:rPr>
      <w:snapToGrid w:val="0"/>
      <w:szCs w:val="20"/>
      <w:lang w:eastAsia="en-US"/>
    </w:rPr>
  </w:style>
  <w:style w:type="paragraph" w:customStyle="1" w:styleId="ExecSummaryHeading">
    <w:name w:val="Exec Summary Heading"/>
    <w:basedOn w:val="Normal"/>
    <w:rsid w:val="00B94C86"/>
    <w:pPr>
      <w:spacing w:after="1440" w:line="550" w:lineRule="exact"/>
    </w:pPr>
    <w:rPr>
      <w:b/>
      <w:color w:val="4D4D4F"/>
      <w:spacing w:val="-18"/>
      <w:sz w:val="53"/>
    </w:rPr>
  </w:style>
  <w:style w:type="paragraph" w:customStyle="1" w:styleId="ACMABodyText0">
    <w:name w:val="ACMA_BodyText"/>
    <w:qFormat/>
    <w:rsid w:val="00B94C86"/>
    <w:pPr>
      <w:suppressAutoHyphens/>
      <w:spacing w:after="80" w:line="280" w:lineRule="atLeast"/>
    </w:pPr>
    <w:rPr>
      <w:rFonts w:ascii="Arial" w:hAnsi="Arial"/>
      <w:snapToGrid w:val="0"/>
      <w:sz w:val="19"/>
      <w:szCs w:val="20"/>
      <w:lang w:eastAsia="en-US"/>
    </w:rPr>
  </w:style>
  <w:style w:type="table" w:styleId="MediumGrid1-Accent5">
    <w:name w:val="Medium Grid 1 Accent 5"/>
    <w:basedOn w:val="TableNormal"/>
    <w:uiPriority w:val="67"/>
    <w:rsid w:val="00B94C86"/>
    <w:rPr>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ReportTitle">
    <w:name w:val="Report Title"/>
    <w:basedOn w:val="Normal"/>
    <w:rsid w:val="00B94C86"/>
    <w:pPr>
      <w:spacing w:after="0" w:line="560" w:lineRule="exact"/>
    </w:pPr>
    <w:rPr>
      <w:b/>
      <w:color w:val="4D4D4F"/>
      <w:spacing w:val="-28"/>
      <w:sz w:val="53"/>
    </w:rPr>
  </w:style>
  <w:style w:type="paragraph" w:customStyle="1" w:styleId="ReportSubtitle">
    <w:name w:val="Report Sub title"/>
    <w:basedOn w:val="Normal"/>
    <w:rsid w:val="00B94C86"/>
    <w:pPr>
      <w:spacing w:after="0" w:line="560" w:lineRule="exact"/>
    </w:pPr>
    <w:rPr>
      <w:color w:val="808285"/>
      <w:spacing w:val="-28"/>
      <w:sz w:val="53"/>
    </w:rPr>
  </w:style>
  <w:style w:type="paragraph" w:customStyle="1" w:styleId="ReportDate">
    <w:name w:val="Report Date"/>
    <w:basedOn w:val="ReportSubtitle"/>
    <w:rsid w:val="00B94C86"/>
    <w:pPr>
      <w:spacing w:line="240" w:lineRule="auto"/>
    </w:pPr>
    <w:rPr>
      <w:caps/>
      <w:spacing w:val="-10"/>
      <w:sz w:val="20"/>
    </w:rPr>
  </w:style>
  <w:style w:type="paragraph" w:customStyle="1" w:styleId="Bodysubheader0">
    <w:name w:val="Body sub header"/>
    <w:basedOn w:val="Normal"/>
    <w:next w:val="Normal"/>
    <w:rsid w:val="00B94C86"/>
    <w:pPr>
      <w:spacing w:after="0"/>
    </w:pPr>
    <w:rPr>
      <w:b/>
      <w:i/>
    </w:rPr>
  </w:style>
  <w:style w:type="paragraph" w:styleId="TOC9">
    <w:name w:val="toc 9"/>
    <w:aliases w:val="TOC ExecSumm"/>
    <w:basedOn w:val="Normal"/>
    <w:next w:val="Normal"/>
    <w:uiPriority w:val="39"/>
    <w:rsid w:val="00B94C86"/>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B94C86"/>
    <w:pPr>
      <w:spacing w:after="0" w:line="560" w:lineRule="exact"/>
    </w:pPr>
    <w:rPr>
      <w:color w:val="808285"/>
      <w:spacing w:val="-28"/>
      <w:sz w:val="53"/>
    </w:rPr>
  </w:style>
  <w:style w:type="character" w:customStyle="1" w:styleId="apple-style-span">
    <w:name w:val="apple-style-span"/>
    <w:basedOn w:val="DefaultParagraphFont"/>
    <w:rsid w:val="00B94C86"/>
  </w:style>
  <w:style w:type="character" w:customStyle="1" w:styleId="CaptionChar">
    <w:name w:val="Caption Char"/>
    <w:aliases w:val="Caption table Char"/>
    <w:basedOn w:val="DefaultParagraphFont"/>
    <w:link w:val="Caption"/>
    <w:rsid w:val="00B94C86"/>
    <w:rPr>
      <w:rFonts w:ascii="Arial" w:hAnsi="Arial"/>
      <w:b/>
      <w:bCs/>
      <w:color w:val="323232"/>
      <w:sz w:val="20"/>
      <w:szCs w:val="20"/>
    </w:rPr>
  </w:style>
  <w:style w:type="character" w:customStyle="1" w:styleId="NoSpacingChar">
    <w:name w:val="No Spacing Char"/>
    <w:link w:val="NoSpacing"/>
    <w:uiPriority w:val="1"/>
    <w:locked/>
    <w:rsid w:val="00B94C86"/>
    <w:rPr>
      <w:rFonts w:ascii="Arial" w:hAnsi="Arial"/>
      <w:sz w:val="20"/>
    </w:rPr>
  </w:style>
  <w:style w:type="paragraph" w:customStyle="1" w:styleId="StyleListParagraphListParagraph1ListParagraph11Recommendatio">
    <w:name w:val="Style List ParagraphList Paragraph1List Paragraph11Recommendatio..."/>
    <w:basedOn w:val="ListParagraph"/>
    <w:rsid w:val="00B94C86"/>
    <w:pPr>
      <w:spacing w:after="240" w:line="240" w:lineRule="auto"/>
      <w:ind w:left="1134" w:hanging="567"/>
    </w:pPr>
    <w:rPr>
      <w:rFonts w:eastAsia="Times New Roman" w:cs="Times New Roman"/>
      <w:szCs w:val="20"/>
    </w:rPr>
  </w:style>
  <w:style w:type="paragraph" w:customStyle="1" w:styleId="ACMAHeading3">
    <w:name w:val="ACMA Heading 3"/>
    <w:next w:val="ACMABodyText"/>
    <w:rsid w:val="00B94C86"/>
    <w:pPr>
      <w:keepNext/>
      <w:tabs>
        <w:tab w:val="num" w:pos="720"/>
      </w:tabs>
      <w:suppressAutoHyphens/>
      <w:spacing w:before="240"/>
      <w:outlineLvl w:val="3"/>
    </w:pPr>
    <w:rPr>
      <w:rFonts w:ascii="Arial" w:hAnsi="Arial"/>
      <w:b/>
      <w:szCs w:val="20"/>
      <w:lang w:val="en-US" w:eastAsia="en-US"/>
    </w:rPr>
  </w:style>
  <w:style w:type="paragraph" w:customStyle="1" w:styleId="Summary">
    <w:name w:val="Summary"/>
    <w:basedOn w:val="Normal"/>
    <w:next w:val="Normal"/>
    <w:autoRedefine/>
    <w:rsid w:val="00B94C86"/>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sz w:val="22"/>
      <w:szCs w:val="20"/>
      <w:lang w:val="es-ES_tradnl" w:eastAsia="en-US"/>
    </w:rPr>
  </w:style>
  <w:style w:type="paragraph" w:customStyle="1" w:styleId="enumlev1">
    <w:name w:val="enumlev1"/>
    <w:basedOn w:val="Normal"/>
    <w:rsid w:val="00B94C86"/>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sz w:val="24"/>
      <w:szCs w:val="20"/>
      <w:lang w:val="en-GB" w:eastAsia="en-US"/>
    </w:rPr>
  </w:style>
  <w:style w:type="paragraph" w:styleId="BodyTextIndent3">
    <w:name w:val="Body Text Indent 3"/>
    <w:basedOn w:val="Normal"/>
    <w:link w:val="BodyTextIndent3Char"/>
    <w:rsid w:val="00B94C86"/>
    <w:pPr>
      <w:spacing w:after="120"/>
      <w:ind w:left="283"/>
    </w:pPr>
    <w:rPr>
      <w:sz w:val="16"/>
      <w:szCs w:val="16"/>
    </w:rPr>
  </w:style>
  <w:style w:type="character" w:customStyle="1" w:styleId="BodyTextIndent3Char">
    <w:name w:val="Body Text Indent 3 Char"/>
    <w:basedOn w:val="DefaultParagraphFont"/>
    <w:link w:val="BodyTextIndent3"/>
    <w:rsid w:val="00B94C86"/>
    <w:rPr>
      <w:rFonts w:ascii="Arial" w:hAnsi="Arial"/>
      <w:sz w:val="16"/>
      <w:szCs w:val="16"/>
    </w:rPr>
  </w:style>
  <w:style w:type="paragraph" w:customStyle="1" w:styleId="Normalaftertitle">
    <w:name w:val="Normal after title"/>
    <w:basedOn w:val="Normal"/>
    <w:next w:val="Normal"/>
    <w:rsid w:val="00B94C86"/>
    <w:pPr>
      <w:tabs>
        <w:tab w:val="left" w:pos="1134"/>
        <w:tab w:val="left" w:pos="1871"/>
        <w:tab w:val="left" w:pos="2268"/>
      </w:tabs>
      <w:overflowPunct w:val="0"/>
      <w:autoSpaceDE w:val="0"/>
      <w:autoSpaceDN w:val="0"/>
      <w:adjustRightInd w:val="0"/>
      <w:spacing w:before="280" w:after="0" w:line="240" w:lineRule="auto"/>
    </w:pPr>
    <w:rPr>
      <w:rFonts w:ascii="Times New Roman" w:hAnsi="Times New Roman"/>
      <w:sz w:val="24"/>
      <w:szCs w:val="20"/>
      <w:lang w:val="en-GB" w:eastAsia="en-US"/>
    </w:rPr>
  </w:style>
  <w:style w:type="character" w:customStyle="1" w:styleId="ListBulletChar">
    <w:name w:val="List Bullet Char"/>
    <w:basedOn w:val="DefaultParagraphFont"/>
    <w:link w:val="ListBullet"/>
    <w:rsid w:val="009F0108"/>
    <w:rPr>
      <w:rFonts w:ascii="Arial" w:hAnsi="Arial"/>
      <w:sz w:val="20"/>
    </w:rPr>
  </w:style>
  <w:style w:type="table" w:customStyle="1" w:styleId="TableGrid3">
    <w:name w:val="Table Grid3"/>
    <w:basedOn w:val="TableNormal"/>
    <w:next w:val="TableGrid"/>
    <w:uiPriority w:val="39"/>
    <w:rsid w:val="00D169B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42AB8"/>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65CA"/>
    <w:pPr>
      <w:widowControl w:val="0"/>
      <w:autoSpaceDE w:val="0"/>
      <w:autoSpaceDN w:val="0"/>
      <w:spacing w:before="13" w:after="0" w:line="240" w:lineRule="auto"/>
      <w:ind w:left="113"/>
    </w:pPr>
    <w:rPr>
      <w:rFonts w:eastAsia="Arial" w:cs="Arial"/>
      <w:sz w:val="22"/>
      <w:szCs w:val="22"/>
      <w:lang w:val="en-US" w:eastAsia="en-US" w:bidi="en-US"/>
    </w:rPr>
  </w:style>
  <w:style w:type="character" w:customStyle="1" w:styleId="UnresolvedMention1">
    <w:name w:val="Unresolved Mention1"/>
    <w:basedOn w:val="DefaultParagraphFont"/>
    <w:uiPriority w:val="99"/>
    <w:semiHidden/>
    <w:unhideWhenUsed/>
    <w:rsid w:val="00295A18"/>
    <w:rPr>
      <w:color w:val="605E5C"/>
      <w:shd w:val="clear" w:color="auto" w:fill="E1DFDD"/>
    </w:rPr>
  </w:style>
  <w:style w:type="character" w:customStyle="1" w:styleId="UnresolvedMention2">
    <w:name w:val="Unresolved Mention2"/>
    <w:basedOn w:val="DefaultParagraphFont"/>
    <w:uiPriority w:val="99"/>
    <w:semiHidden/>
    <w:unhideWhenUsed/>
    <w:rsid w:val="00BA498C"/>
    <w:rPr>
      <w:color w:val="605E5C"/>
      <w:shd w:val="clear" w:color="auto" w:fill="E1DFDD"/>
    </w:rPr>
  </w:style>
  <w:style w:type="character" w:customStyle="1" w:styleId="UnresolvedMention3">
    <w:name w:val="Unresolved Mention3"/>
    <w:basedOn w:val="DefaultParagraphFont"/>
    <w:uiPriority w:val="99"/>
    <w:semiHidden/>
    <w:unhideWhenUsed/>
    <w:rsid w:val="0036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894">
      <w:bodyDiv w:val="1"/>
      <w:marLeft w:val="0"/>
      <w:marRight w:val="0"/>
      <w:marTop w:val="0"/>
      <w:marBottom w:val="0"/>
      <w:divBdr>
        <w:top w:val="none" w:sz="0" w:space="0" w:color="auto"/>
        <w:left w:val="none" w:sz="0" w:space="0" w:color="auto"/>
        <w:bottom w:val="none" w:sz="0" w:space="0" w:color="auto"/>
        <w:right w:val="none" w:sz="0" w:space="0" w:color="auto"/>
      </w:divBdr>
      <w:divsChild>
        <w:div w:id="109207078">
          <w:marLeft w:val="0"/>
          <w:marRight w:val="0"/>
          <w:marTop w:val="0"/>
          <w:marBottom w:val="0"/>
          <w:divBdr>
            <w:top w:val="none" w:sz="0" w:space="0" w:color="auto"/>
            <w:left w:val="none" w:sz="0" w:space="0" w:color="auto"/>
            <w:bottom w:val="none" w:sz="0" w:space="0" w:color="auto"/>
            <w:right w:val="none" w:sz="0" w:space="0" w:color="auto"/>
          </w:divBdr>
          <w:divsChild>
            <w:div w:id="1530871569">
              <w:marLeft w:val="0"/>
              <w:marRight w:val="0"/>
              <w:marTop w:val="0"/>
              <w:marBottom w:val="0"/>
              <w:divBdr>
                <w:top w:val="none" w:sz="0" w:space="0" w:color="auto"/>
                <w:left w:val="none" w:sz="0" w:space="0" w:color="auto"/>
                <w:bottom w:val="none" w:sz="0" w:space="0" w:color="auto"/>
                <w:right w:val="none" w:sz="0" w:space="0" w:color="auto"/>
              </w:divBdr>
              <w:divsChild>
                <w:div w:id="1888445366">
                  <w:marLeft w:val="0"/>
                  <w:marRight w:val="0"/>
                  <w:marTop w:val="0"/>
                  <w:marBottom w:val="0"/>
                  <w:divBdr>
                    <w:top w:val="none" w:sz="0" w:space="0" w:color="auto"/>
                    <w:left w:val="none" w:sz="0" w:space="0" w:color="auto"/>
                    <w:bottom w:val="none" w:sz="0" w:space="0" w:color="auto"/>
                    <w:right w:val="none" w:sz="0" w:space="0" w:color="auto"/>
                  </w:divBdr>
                  <w:divsChild>
                    <w:div w:id="1299530523">
                      <w:marLeft w:val="0"/>
                      <w:marRight w:val="0"/>
                      <w:marTop w:val="0"/>
                      <w:marBottom w:val="0"/>
                      <w:divBdr>
                        <w:top w:val="none" w:sz="0" w:space="0" w:color="auto"/>
                        <w:left w:val="none" w:sz="0" w:space="0" w:color="auto"/>
                        <w:bottom w:val="none" w:sz="0" w:space="0" w:color="auto"/>
                        <w:right w:val="none" w:sz="0" w:space="0" w:color="auto"/>
                      </w:divBdr>
                      <w:divsChild>
                        <w:div w:id="1059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4548">
      <w:bodyDiv w:val="1"/>
      <w:marLeft w:val="0"/>
      <w:marRight w:val="0"/>
      <w:marTop w:val="0"/>
      <w:marBottom w:val="0"/>
      <w:divBdr>
        <w:top w:val="none" w:sz="0" w:space="0" w:color="auto"/>
        <w:left w:val="none" w:sz="0" w:space="0" w:color="auto"/>
        <w:bottom w:val="none" w:sz="0" w:space="0" w:color="auto"/>
        <w:right w:val="none" w:sz="0" w:space="0" w:color="auto"/>
      </w:divBdr>
    </w:div>
    <w:div w:id="102574492">
      <w:bodyDiv w:val="1"/>
      <w:marLeft w:val="0"/>
      <w:marRight w:val="0"/>
      <w:marTop w:val="0"/>
      <w:marBottom w:val="0"/>
      <w:divBdr>
        <w:top w:val="none" w:sz="0" w:space="0" w:color="auto"/>
        <w:left w:val="none" w:sz="0" w:space="0" w:color="auto"/>
        <w:bottom w:val="none" w:sz="0" w:space="0" w:color="auto"/>
        <w:right w:val="none" w:sz="0" w:space="0" w:color="auto"/>
      </w:divBdr>
    </w:div>
    <w:div w:id="124079014">
      <w:bodyDiv w:val="1"/>
      <w:marLeft w:val="0"/>
      <w:marRight w:val="0"/>
      <w:marTop w:val="0"/>
      <w:marBottom w:val="0"/>
      <w:divBdr>
        <w:top w:val="none" w:sz="0" w:space="0" w:color="auto"/>
        <w:left w:val="none" w:sz="0" w:space="0" w:color="auto"/>
        <w:bottom w:val="none" w:sz="0" w:space="0" w:color="auto"/>
        <w:right w:val="none" w:sz="0" w:space="0" w:color="auto"/>
      </w:divBdr>
    </w:div>
    <w:div w:id="127208210">
      <w:bodyDiv w:val="1"/>
      <w:marLeft w:val="0"/>
      <w:marRight w:val="0"/>
      <w:marTop w:val="0"/>
      <w:marBottom w:val="0"/>
      <w:divBdr>
        <w:top w:val="none" w:sz="0" w:space="0" w:color="auto"/>
        <w:left w:val="none" w:sz="0" w:space="0" w:color="auto"/>
        <w:bottom w:val="none" w:sz="0" w:space="0" w:color="auto"/>
        <w:right w:val="none" w:sz="0" w:space="0" w:color="auto"/>
      </w:divBdr>
    </w:div>
    <w:div w:id="163666300">
      <w:bodyDiv w:val="1"/>
      <w:marLeft w:val="0"/>
      <w:marRight w:val="0"/>
      <w:marTop w:val="0"/>
      <w:marBottom w:val="0"/>
      <w:divBdr>
        <w:top w:val="none" w:sz="0" w:space="0" w:color="auto"/>
        <w:left w:val="none" w:sz="0" w:space="0" w:color="auto"/>
        <w:bottom w:val="none" w:sz="0" w:space="0" w:color="auto"/>
        <w:right w:val="none" w:sz="0" w:space="0" w:color="auto"/>
      </w:divBdr>
    </w:div>
    <w:div w:id="166986358">
      <w:bodyDiv w:val="1"/>
      <w:marLeft w:val="0"/>
      <w:marRight w:val="0"/>
      <w:marTop w:val="0"/>
      <w:marBottom w:val="0"/>
      <w:divBdr>
        <w:top w:val="none" w:sz="0" w:space="0" w:color="auto"/>
        <w:left w:val="none" w:sz="0" w:space="0" w:color="auto"/>
        <w:bottom w:val="none" w:sz="0" w:space="0" w:color="auto"/>
        <w:right w:val="none" w:sz="0" w:space="0" w:color="auto"/>
      </w:divBdr>
    </w:div>
    <w:div w:id="167717739">
      <w:bodyDiv w:val="1"/>
      <w:marLeft w:val="0"/>
      <w:marRight w:val="0"/>
      <w:marTop w:val="0"/>
      <w:marBottom w:val="0"/>
      <w:divBdr>
        <w:top w:val="none" w:sz="0" w:space="0" w:color="auto"/>
        <w:left w:val="none" w:sz="0" w:space="0" w:color="auto"/>
        <w:bottom w:val="none" w:sz="0" w:space="0" w:color="auto"/>
        <w:right w:val="none" w:sz="0" w:space="0" w:color="auto"/>
      </w:divBdr>
    </w:div>
    <w:div w:id="215238411">
      <w:bodyDiv w:val="1"/>
      <w:marLeft w:val="0"/>
      <w:marRight w:val="0"/>
      <w:marTop w:val="0"/>
      <w:marBottom w:val="0"/>
      <w:divBdr>
        <w:top w:val="none" w:sz="0" w:space="0" w:color="auto"/>
        <w:left w:val="none" w:sz="0" w:space="0" w:color="auto"/>
        <w:bottom w:val="none" w:sz="0" w:space="0" w:color="auto"/>
        <w:right w:val="none" w:sz="0" w:space="0" w:color="auto"/>
      </w:divBdr>
    </w:div>
    <w:div w:id="338895039">
      <w:bodyDiv w:val="1"/>
      <w:marLeft w:val="0"/>
      <w:marRight w:val="0"/>
      <w:marTop w:val="0"/>
      <w:marBottom w:val="0"/>
      <w:divBdr>
        <w:top w:val="none" w:sz="0" w:space="0" w:color="auto"/>
        <w:left w:val="none" w:sz="0" w:space="0" w:color="auto"/>
        <w:bottom w:val="none" w:sz="0" w:space="0" w:color="auto"/>
        <w:right w:val="none" w:sz="0" w:space="0" w:color="auto"/>
      </w:divBdr>
    </w:div>
    <w:div w:id="366759458">
      <w:bodyDiv w:val="1"/>
      <w:marLeft w:val="0"/>
      <w:marRight w:val="0"/>
      <w:marTop w:val="0"/>
      <w:marBottom w:val="0"/>
      <w:divBdr>
        <w:top w:val="none" w:sz="0" w:space="0" w:color="auto"/>
        <w:left w:val="none" w:sz="0" w:space="0" w:color="auto"/>
        <w:bottom w:val="none" w:sz="0" w:space="0" w:color="auto"/>
        <w:right w:val="none" w:sz="0" w:space="0" w:color="auto"/>
      </w:divBdr>
    </w:div>
    <w:div w:id="422990865">
      <w:bodyDiv w:val="1"/>
      <w:marLeft w:val="0"/>
      <w:marRight w:val="0"/>
      <w:marTop w:val="0"/>
      <w:marBottom w:val="0"/>
      <w:divBdr>
        <w:top w:val="none" w:sz="0" w:space="0" w:color="auto"/>
        <w:left w:val="none" w:sz="0" w:space="0" w:color="auto"/>
        <w:bottom w:val="none" w:sz="0" w:space="0" w:color="auto"/>
        <w:right w:val="none" w:sz="0" w:space="0" w:color="auto"/>
      </w:divBdr>
    </w:div>
    <w:div w:id="501629245">
      <w:bodyDiv w:val="1"/>
      <w:marLeft w:val="0"/>
      <w:marRight w:val="0"/>
      <w:marTop w:val="0"/>
      <w:marBottom w:val="0"/>
      <w:divBdr>
        <w:top w:val="none" w:sz="0" w:space="0" w:color="auto"/>
        <w:left w:val="none" w:sz="0" w:space="0" w:color="auto"/>
        <w:bottom w:val="none" w:sz="0" w:space="0" w:color="auto"/>
        <w:right w:val="none" w:sz="0" w:space="0" w:color="auto"/>
      </w:divBdr>
    </w:div>
    <w:div w:id="532884536">
      <w:bodyDiv w:val="1"/>
      <w:marLeft w:val="0"/>
      <w:marRight w:val="0"/>
      <w:marTop w:val="0"/>
      <w:marBottom w:val="0"/>
      <w:divBdr>
        <w:top w:val="none" w:sz="0" w:space="0" w:color="auto"/>
        <w:left w:val="none" w:sz="0" w:space="0" w:color="auto"/>
        <w:bottom w:val="none" w:sz="0" w:space="0" w:color="auto"/>
        <w:right w:val="none" w:sz="0" w:space="0" w:color="auto"/>
      </w:divBdr>
    </w:div>
    <w:div w:id="647436425">
      <w:bodyDiv w:val="1"/>
      <w:marLeft w:val="0"/>
      <w:marRight w:val="0"/>
      <w:marTop w:val="0"/>
      <w:marBottom w:val="0"/>
      <w:divBdr>
        <w:top w:val="none" w:sz="0" w:space="0" w:color="auto"/>
        <w:left w:val="none" w:sz="0" w:space="0" w:color="auto"/>
        <w:bottom w:val="none" w:sz="0" w:space="0" w:color="auto"/>
        <w:right w:val="none" w:sz="0" w:space="0" w:color="auto"/>
      </w:divBdr>
    </w:div>
    <w:div w:id="768233440">
      <w:bodyDiv w:val="1"/>
      <w:marLeft w:val="0"/>
      <w:marRight w:val="0"/>
      <w:marTop w:val="0"/>
      <w:marBottom w:val="0"/>
      <w:divBdr>
        <w:top w:val="none" w:sz="0" w:space="0" w:color="auto"/>
        <w:left w:val="none" w:sz="0" w:space="0" w:color="auto"/>
        <w:bottom w:val="none" w:sz="0" w:space="0" w:color="auto"/>
        <w:right w:val="none" w:sz="0" w:space="0" w:color="auto"/>
      </w:divBdr>
    </w:div>
    <w:div w:id="798718863">
      <w:bodyDiv w:val="1"/>
      <w:marLeft w:val="0"/>
      <w:marRight w:val="0"/>
      <w:marTop w:val="0"/>
      <w:marBottom w:val="0"/>
      <w:divBdr>
        <w:top w:val="none" w:sz="0" w:space="0" w:color="auto"/>
        <w:left w:val="none" w:sz="0" w:space="0" w:color="auto"/>
        <w:bottom w:val="none" w:sz="0" w:space="0" w:color="auto"/>
        <w:right w:val="none" w:sz="0" w:space="0" w:color="auto"/>
      </w:divBdr>
    </w:div>
    <w:div w:id="834807572">
      <w:bodyDiv w:val="1"/>
      <w:marLeft w:val="0"/>
      <w:marRight w:val="0"/>
      <w:marTop w:val="0"/>
      <w:marBottom w:val="0"/>
      <w:divBdr>
        <w:top w:val="none" w:sz="0" w:space="0" w:color="auto"/>
        <w:left w:val="none" w:sz="0" w:space="0" w:color="auto"/>
        <w:bottom w:val="none" w:sz="0" w:space="0" w:color="auto"/>
        <w:right w:val="none" w:sz="0" w:space="0" w:color="auto"/>
      </w:divBdr>
    </w:div>
    <w:div w:id="865220641">
      <w:bodyDiv w:val="1"/>
      <w:marLeft w:val="0"/>
      <w:marRight w:val="0"/>
      <w:marTop w:val="0"/>
      <w:marBottom w:val="0"/>
      <w:divBdr>
        <w:top w:val="none" w:sz="0" w:space="0" w:color="auto"/>
        <w:left w:val="none" w:sz="0" w:space="0" w:color="auto"/>
        <w:bottom w:val="none" w:sz="0" w:space="0" w:color="auto"/>
        <w:right w:val="none" w:sz="0" w:space="0" w:color="auto"/>
      </w:divBdr>
    </w:div>
    <w:div w:id="868299399">
      <w:bodyDiv w:val="1"/>
      <w:marLeft w:val="0"/>
      <w:marRight w:val="0"/>
      <w:marTop w:val="0"/>
      <w:marBottom w:val="0"/>
      <w:divBdr>
        <w:top w:val="none" w:sz="0" w:space="0" w:color="auto"/>
        <w:left w:val="none" w:sz="0" w:space="0" w:color="auto"/>
        <w:bottom w:val="none" w:sz="0" w:space="0" w:color="auto"/>
        <w:right w:val="none" w:sz="0" w:space="0" w:color="auto"/>
      </w:divBdr>
    </w:div>
    <w:div w:id="939870570">
      <w:bodyDiv w:val="1"/>
      <w:marLeft w:val="0"/>
      <w:marRight w:val="0"/>
      <w:marTop w:val="0"/>
      <w:marBottom w:val="0"/>
      <w:divBdr>
        <w:top w:val="none" w:sz="0" w:space="0" w:color="auto"/>
        <w:left w:val="none" w:sz="0" w:space="0" w:color="auto"/>
        <w:bottom w:val="none" w:sz="0" w:space="0" w:color="auto"/>
        <w:right w:val="none" w:sz="0" w:space="0" w:color="auto"/>
      </w:divBdr>
    </w:div>
    <w:div w:id="955671975">
      <w:bodyDiv w:val="1"/>
      <w:marLeft w:val="0"/>
      <w:marRight w:val="0"/>
      <w:marTop w:val="0"/>
      <w:marBottom w:val="0"/>
      <w:divBdr>
        <w:top w:val="none" w:sz="0" w:space="0" w:color="auto"/>
        <w:left w:val="none" w:sz="0" w:space="0" w:color="auto"/>
        <w:bottom w:val="none" w:sz="0" w:space="0" w:color="auto"/>
        <w:right w:val="none" w:sz="0" w:space="0" w:color="auto"/>
      </w:divBdr>
    </w:div>
    <w:div w:id="984893040">
      <w:bodyDiv w:val="1"/>
      <w:marLeft w:val="0"/>
      <w:marRight w:val="0"/>
      <w:marTop w:val="0"/>
      <w:marBottom w:val="0"/>
      <w:divBdr>
        <w:top w:val="none" w:sz="0" w:space="0" w:color="auto"/>
        <w:left w:val="none" w:sz="0" w:space="0" w:color="auto"/>
        <w:bottom w:val="none" w:sz="0" w:space="0" w:color="auto"/>
        <w:right w:val="none" w:sz="0" w:space="0" w:color="auto"/>
      </w:divBdr>
    </w:div>
    <w:div w:id="994063709">
      <w:bodyDiv w:val="1"/>
      <w:marLeft w:val="0"/>
      <w:marRight w:val="0"/>
      <w:marTop w:val="0"/>
      <w:marBottom w:val="0"/>
      <w:divBdr>
        <w:top w:val="none" w:sz="0" w:space="0" w:color="auto"/>
        <w:left w:val="none" w:sz="0" w:space="0" w:color="auto"/>
        <w:bottom w:val="none" w:sz="0" w:space="0" w:color="auto"/>
        <w:right w:val="none" w:sz="0" w:space="0" w:color="auto"/>
      </w:divBdr>
    </w:div>
    <w:div w:id="1061563174">
      <w:bodyDiv w:val="1"/>
      <w:marLeft w:val="0"/>
      <w:marRight w:val="0"/>
      <w:marTop w:val="0"/>
      <w:marBottom w:val="0"/>
      <w:divBdr>
        <w:top w:val="none" w:sz="0" w:space="0" w:color="auto"/>
        <w:left w:val="none" w:sz="0" w:space="0" w:color="auto"/>
        <w:bottom w:val="none" w:sz="0" w:space="0" w:color="auto"/>
        <w:right w:val="none" w:sz="0" w:space="0" w:color="auto"/>
      </w:divBdr>
    </w:div>
    <w:div w:id="1240404727">
      <w:bodyDiv w:val="1"/>
      <w:marLeft w:val="0"/>
      <w:marRight w:val="0"/>
      <w:marTop w:val="0"/>
      <w:marBottom w:val="0"/>
      <w:divBdr>
        <w:top w:val="none" w:sz="0" w:space="0" w:color="auto"/>
        <w:left w:val="none" w:sz="0" w:space="0" w:color="auto"/>
        <w:bottom w:val="none" w:sz="0" w:space="0" w:color="auto"/>
        <w:right w:val="none" w:sz="0" w:space="0" w:color="auto"/>
      </w:divBdr>
    </w:div>
    <w:div w:id="1269002896">
      <w:bodyDiv w:val="1"/>
      <w:marLeft w:val="0"/>
      <w:marRight w:val="0"/>
      <w:marTop w:val="0"/>
      <w:marBottom w:val="0"/>
      <w:divBdr>
        <w:top w:val="none" w:sz="0" w:space="0" w:color="auto"/>
        <w:left w:val="none" w:sz="0" w:space="0" w:color="auto"/>
        <w:bottom w:val="none" w:sz="0" w:space="0" w:color="auto"/>
        <w:right w:val="none" w:sz="0" w:space="0" w:color="auto"/>
      </w:divBdr>
    </w:div>
    <w:div w:id="1295017897">
      <w:bodyDiv w:val="1"/>
      <w:marLeft w:val="0"/>
      <w:marRight w:val="0"/>
      <w:marTop w:val="0"/>
      <w:marBottom w:val="0"/>
      <w:divBdr>
        <w:top w:val="none" w:sz="0" w:space="0" w:color="auto"/>
        <w:left w:val="none" w:sz="0" w:space="0" w:color="auto"/>
        <w:bottom w:val="none" w:sz="0" w:space="0" w:color="auto"/>
        <w:right w:val="none" w:sz="0" w:space="0" w:color="auto"/>
      </w:divBdr>
      <w:divsChild>
        <w:div w:id="975526590">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sChild>
                <w:div w:id="1073626164">
                  <w:marLeft w:val="0"/>
                  <w:marRight w:val="0"/>
                  <w:marTop w:val="0"/>
                  <w:marBottom w:val="0"/>
                  <w:divBdr>
                    <w:top w:val="none" w:sz="0" w:space="0" w:color="auto"/>
                    <w:left w:val="none" w:sz="0" w:space="0" w:color="auto"/>
                    <w:bottom w:val="none" w:sz="0" w:space="0" w:color="auto"/>
                    <w:right w:val="none" w:sz="0" w:space="0" w:color="auto"/>
                  </w:divBdr>
                  <w:divsChild>
                    <w:div w:id="39332532">
                      <w:marLeft w:val="0"/>
                      <w:marRight w:val="0"/>
                      <w:marTop w:val="0"/>
                      <w:marBottom w:val="0"/>
                      <w:divBdr>
                        <w:top w:val="none" w:sz="0" w:space="0" w:color="auto"/>
                        <w:left w:val="none" w:sz="0" w:space="0" w:color="auto"/>
                        <w:bottom w:val="none" w:sz="0" w:space="0" w:color="auto"/>
                        <w:right w:val="none" w:sz="0" w:space="0" w:color="auto"/>
                      </w:divBdr>
                      <w:divsChild>
                        <w:div w:id="2087025899">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sChild>
                                <w:div w:id="16742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670285">
      <w:bodyDiv w:val="1"/>
      <w:marLeft w:val="0"/>
      <w:marRight w:val="0"/>
      <w:marTop w:val="0"/>
      <w:marBottom w:val="0"/>
      <w:divBdr>
        <w:top w:val="none" w:sz="0" w:space="0" w:color="auto"/>
        <w:left w:val="none" w:sz="0" w:space="0" w:color="auto"/>
        <w:bottom w:val="none" w:sz="0" w:space="0" w:color="auto"/>
        <w:right w:val="none" w:sz="0" w:space="0" w:color="auto"/>
      </w:divBdr>
    </w:div>
    <w:div w:id="1320187251">
      <w:bodyDiv w:val="1"/>
      <w:marLeft w:val="0"/>
      <w:marRight w:val="0"/>
      <w:marTop w:val="0"/>
      <w:marBottom w:val="0"/>
      <w:divBdr>
        <w:top w:val="none" w:sz="0" w:space="0" w:color="auto"/>
        <w:left w:val="none" w:sz="0" w:space="0" w:color="auto"/>
        <w:bottom w:val="none" w:sz="0" w:space="0" w:color="auto"/>
        <w:right w:val="none" w:sz="0" w:space="0" w:color="auto"/>
      </w:divBdr>
    </w:div>
    <w:div w:id="1441148969">
      <w:bodyDiv w:val="1"/>
      <w:marLeft w:val="0"/>
      <w:marRight w:val="0"/>
      <w:marTop w:val="0"/>
      <w:marBottom w:val="0"/>
      <w:divBdr>
        <w:top w:val="none" w:sz="0" w:space="0" w:color="auto"/>
        <w:left w:val="none" w:sz="0" w:space="0" w:color="auto"/>
        <w:bottom w:val="none" w:sz="0" w:space="0" w:color="auto"/>
        <w:right w:val="none" w:sz="0" w:space="0" w:color="auto"/>
      </w:divBdr>
    </w:div>
    <w:div w:id="1456488667">
      <w:bodyDiv w:val="1"/>
      <w:marLeft w:val="0"/>
      <w:marRight w:val="0"/>
      <w:marTop w:val="0"/>
      <w:marBottom w:val="0"/>
      <w:divBdr>
        <w:top w:val="none" w:sz="0" w:space="0" w:color="auto"/>
        <w:left w:val="none" w:sz="0" w:space="0" w:color="auto"/>
        <w:bottom w:val="none" w:sz="0" w:space="0" w:color="auto"/>
        <w:right w:val="none" w:sz="0" w:space="0" w:color="auto"/>
      </w:divBdr>
    </w:div>
    <w:div w:id="1481849365">
      <w:bodyDiv w:val="1"/>
      <w:marLeft w:val="0"/>
      <w:marRight w:val="0"/>
      <w:marTop w:val="0"/>
      <w:marBottom w:val="0"/>
      <w:divBdr>
        <w:top w:val="none" w:sz="0" w:space="0" w:color="auto"/>
        <w:left w:val="none" w:sz="0" w:space="0" w:color="auto"/>
        <w:bottom w:val="none" w:sz="0" w:space="0" w:color="auto"/>
        <w:right w:val="none" w:sz="0" w:space="0" w:color="auto"/>
      </w:divBdr>
    </w:div>
    <w:div w:id="1535194643">
      <w:bodyDiv w:val="1"/>
      <w:marLeft w:val="0"/>
      <w:marRight w:val="0"/>
      <w:marTop w:val="0"/>
      <w:marBottom w:val="0"/>
      <w:divBdr>
        <w:top w:val="none" w:sz="0" w:space="0" w:color="auto"/>
        <w:left w:val="none" w:sz="0" w:space="0" w:color="auto"/>
        <w:bottom w:val="none" w:sz="0" w:space="0" w:color="auto"/>
        <w:right w:val="none" w:sz="0" w:space="0" w:color="auto"/>
      </w:divBdr>
    </w:div>
    <w:div w:id="1622029226">
      <w:bodyDiv w:val="1"/>
      <w:marLeft w:val="0"/>
      <w:marRight w:val="0"/>
      <w:marTop w:val="0"/>
      <w:marBottom w:val="0"/>
      <w:divBdr>
        <w:top w:val="none" w:sz="0" w:space="0" w:color="auto"/>
        <w:left w:val="none" w:sz="0" w:space="0" w:color="auto"/>
        <w:bottom w:val="none" w:sz="0" w:space="0" w:color="auto"/>
        <w:right w:val="none" w:sz="0" w:space="0" w:color="auto"/>
      </w:divBdr>
    </w:div>
    <w:div w:id="1633948987">
      <w:bodyDiv w:val="1"/>
      <w:marLeft w:val="0"/>
      <w:marRight w:val="0"/>
      <w:marTop w:val="0"/>
      <w:marBottom w:val="0"/>
      <w:divBdr>
        <w:top w:val="none" w:sz="0" w:space="0" w:color="auto"/>
        <w:left w:val="none" w:sz="0" w:space="0" w:color="auto"/>
        <w:bottom w:val="none" w:sz="0" w:space="0" w:color="auto"/>
        <w:right w:val="none" w:sz="0" w:space="0" w:color="auto"/>
      </w:divBdr>
    </w:div>
    <w:div w:id="1636369498">
      <w:bodyDiv w:val="1"/>
      <w:marLeft w:val="0"/>
      <w:marRight w:val="0"/>
      <w:marTop w:val="0"/>
      <w:marBottom w:val="0"/>
      <w:divBdr>
        <w:top w:val="none" w:sz="0" w:space="0" w:color="auto"/>
        <w:left w:val="none" w:sz="0" w:space="0" w:color="auto"/>
        <w:bottom w:val="none" w:sz="0" w:space="0" w:color="auto"/>
        <w:right w:val="none" w:sz="0" w:space="0" w:color="auto"/>
      </w:divBdr>
    </w:div>
    <w:div w:id="1675573876">
      <w:bodyDiv w:val="1"/>
      <w:marLeft w:val="0"/>
      <w:marRight w:val="0"/>
      <w:marTop w:val="0"/>
      <w:marBottom w:val="0"/>
      <w:divBdr>
        <w:top w:val="none" w:sz="0" w:space="0" w:color="auto"/>
        <w:left w:val="none" w:sz="0" w:space="0" w:color="auto"/>
        <w:bottom w:val="none" w:sz="0" w:space="0" w:color="auto"/>
        <w:right w:val="none" w:sz="0" w:space="0" w:color="auto"/>
      </w:divBdr>
    </w:div>
    <w:div w:id="1767269219">
      <w:bodyDiv w:val="1"/>
      <w:marLeft w:val="0"/>
      <w:marRight w:val="0"/>
      <w:marTop w:val="0"/>
      <w:marBottom w:val="0"/>
      <w:divBdr>
        <w:top w:val="none" w:sz="0" w:space="0" w:color="auto"/>
        <w:left w:val="none" w:sz="0" w:space="0" w:color="auto"/>
        <w:bottom w:val="none" w:sz="0" w:space="0" w:color="auto"/>
        <w:right w:val="none" w:sz="0" w:space="0" w:color="auto"/>
      </w:divBdr>
    </w:div>
    <w:div w:id="1847674053">
      <w:bodyDiv w:val="1"/>
      <w:marLeft w:val="0"/>
      <w:marRight w:val="0"/>
      <w:marTop w:val="0"/>
      <w:marBottom w:val="0"/>
      <w:divBdr>
        <w:top w:val="none" w:sz="0" w:space="0" w:color="auto"/>
        <w:left w:val="none" w:sz="0" w:space="0" w:color="auto"/>
        <w:bottom w:val="none" w:sz="0" w:space="0" w:color="auto"/>
        <w:right w:val="none" w:sz="0" w:space="0" w:color="auto"/>
      </w:divBdr>
    </w:div>
    <w:div w:id="1884753343">
      <w:bodyDiv w:val="1"/>
      <w:marLeft w:val="0"/>
      <w:marRight w:val="0"/>
      <w:marTop w:val="0"/>
      <w:marBottom w:val="0"/>
      <w:divBdr>
        <w:top w:val="none" w:sz="0" w:space="0" w:color="auto"/>
        <w:left w:val="none" w:sz="0" w:space="0" w:color="auto"/>
        <w:bottom w:val="none" w:sz="0" w:space="0" w:color="auto"/>
        <w:right w:val="none" w:sz="0" w:space="0" w:color="auto"/>
      </w:divBdr>
    </w:div>
    <w:div w:id="1980958774">
      <w:bodyDiv w:val="1"/>
      <w:marLeft w:val="0"/>
      <w:marRight w:val="0"/>
      <w:marTop w:val="0"/>
      <w:marBottom w:val="0"/>
      <w:divBdr>
        <w:top w:val="none" w:sz="0" w:space="0" w:color="auto"/>
        <w:left w:val="none" w:sz="0" w:space="0" w:color="auto"/>
        <w:bottom w:val="none" w:sz="0" w:space="0" w:color="auto"/>
        <w:right w:val="none" w:sz="0" w:space="0" w:color="auto"/>
      </w:divBdr>
    </w:div>
    <w:div w:id="2002082624">
      <w:bodyDiv w:val="1"/>
      <w:marLeft w:val="0"/>
      <w:marRight w:val="0"/>
      <w:marTop w:val="0"/>
      <w:marBottom w:val="0"/>
      <w:divBdr>
        <w:top w:val="none" w:sz="0" w:space="0" w:color="auto"/>
        <w:left w:val="none" w:sz="0" w:space="0" w:color="auto"/>
        <w:bottom w:val="none" w:sz="0" w:space="0" w:color="auto"/>
        <w:right w:val="none" w:sz="0" w:space="0" w:color="auto"/>
      </w:divBdr>
    </w:div>
    <w:div w:id="2007197715">
      <w:bodyDiv w:val="1"/>
      <w:marLeft w:val="0"/>
      <w:marRight w:val="0"/>
      <w:marTop w:val="0"/>
      <w:marBottom w:val="0"/>
      <w:divBdr>
        <w:top w:val="none" w:sz="0" w:space="0" w:color="auto"/>
        <w:left w:val="none" w:sz="0" w:space="0" w:color="auto"/>
        <w:bottom w:val="none" w:sz="0" w:space="0" w:color="auto"/>
        <w:right w:val="none" w:sz="0" w:space="0" w:color="auto"/>
      </w:divBdr>
    </w:div>
    <w:div w:id="20808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s://www.itu.int/md/R15-TG5.1-C-0290/en" TargetMode="External"/><Relationship Id="rId21" Type="http://schemas.openxmlformats.org/officeDocument/2006/relationships/header" Target="header6.xml"/><Relationship Id="rId34" Type="http://schemas.openxmlformats.org/officeDocument/2006/relationships/hyperlink" Target="http://rspg-spectrum.eu/2016/06/public-consultation-on-5g-launched/" TargetMode="External"/><Relationship Id="rId42" Type="http://schemas.openxmlformats.org/officeDocument/2006/relationships/hyperlink" Target="https://www.acma.gov.au/theACMA/future-use-of-the-1_5-ghz-and-3_6-ghz-bands-2" TargetMode="External"/><Relationship Id="rId47" Type="http://schemas.openxmlformats.org/officeDocument/2006/relationships/hyperlink" Target="https://www.acma.gov.au/theACMA/future-approach-to-the-3_6-ghz-band" TargetMode="External"/><Relationship Id="rId50" Type="http://schemas.openxmlformats.org/officeDocument/2006/relationships/hyperlink" Target="https://www.acma.gov.au/theACMA/-/media/FF7FA8CB799748CBB9378B392E29AA8E.ashx" TargetMode="External"/><Relationship Id="rId55" Type="http://schemas.openxmlformats.org/officeDocument/2006/relationships/footer" Target="footer7.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yperlink" Target="https://www.communications.gov.au/departmental-news/5g-enabling-future-economy" TargetMode="External"/><Relationship Id="rId41" Type="http://schemas.openxmlformats.org/officeDocument/2006/relationships/hyperlink" Target="https://www.acma.gov.au/theACMA/future-approach-to-the-3_6-ghz-band" TargetMode="External"/><Relationship Id="rId54" Type="http://schemas.openxmlformats.org/officeDocument/2006/relationships/header" Target="header8.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footer" Target="footer6.xml"/><Relationship Id="rId32" Type="http://schemas.openxmlformats.org/officeDocument/2006/relationships/hyperlink" Target="http://ec.europa.eu/smart-regulation/roadmaps/docs/2015_cnect_017_uhf_en.pdf" TargetMode="External"/><Relationship Id="rId37" Type="http://schemas.openxmlformats.org/officeDocument/2006/relationships/hyperlink" Target="https://www.itu.int/md/R15-TG5.1-C-0117/en" TargetMode="External"/><Relationship Id="rId40" Type="http://schemas.openxmlformats.org/officeDocument/2006/relationships/hyperlink" Target="https://www.comlaw.gov.au/Details/F2012L00731" TargetMode="External"/><Relationship Id="rId45" Type="http://schemas.openxmlformats.org/officeDocument/2006/relationships/hyperlink" Target="https://www.acma.gov.au/theACMA/-/media/AF3D0BB2F7BB456EB073DD48F1C0FB00.ashx" TargetMode="External"/><Relationship Id="rId53" Type="http://schemas.openxmlformats.org/officeDocument/2006/relationships/header" Target="header7.xml"/><Relationship Id="rId58" Type="http://schemas.openxmlformats.org/officeDocument/2006/relationships/hyperlink" Target="https://www.communications.gov.au/have-your-say/consultation-new-spectrum-legislation"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www.acma.gov.au/Industry/Spectrum/Spectrum-projects/Mobile-broadband/mobile-broadband-strategy-and-work-plan" TargetMode="External"/><Relationship Id="rId36" Type="http://schemas.openxmlformats.org/officeDocument/2006/relationships/hyperlink" Target="https://www.itu.int/md/R15-TG5.1-C-0076/en" TargetMode="External"/><Relationship Id="rId49" Type="http://schemas.openxmlformats.org/officeDocument/2006/relationships/hyperlink" Target="https://www.acma.gov.au/theACMA/~/link.aspx?_id=344BD5CA266547DCAEC718D072FBDF42&amp;_z=z" TargetMode="External"/><Relationship Id="rId57" Type="http://schemas.openxmlformats.org/officeDocument/2006/relationships/hyperlink" Target="https://www.acma.gov.au/Home/theACMA/reconfiguring-the-890-915-935-960-mhz-band-way-forward" TargetMode="External"/><Relationship Id="rId61" Type="http://schemas.openxmlformats.org/officeDocument/2006/relationships/footer" Target="footer9.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http://rspg-spectrum.eu/wp-content/uploads/2014/03/RSPG14-555final_Request-for-Opinion-UHF-band.pdf" TargetMode="External"/><Relationship Id="rId44" Type="http://schemas.openxmlformats.org/officeDocument/2006/relationships/hyperlink" Target="https://www.acma.gov.au/theACMA/spectrum-for-broadband-in-mmwave-bands" TargetMode="External"/><Relationship Id="rId52" Type="http://schemas.openxmlformats.org/officeDocument/2006/relationships/hyperlink" Target="https://www.acma.gov.au/theACMA/frequency-coordination-requirements-review-work-program" TargetMode="External"/><Relationship Id="rId60"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4.xml"/><Relationship Id="rId27" Type="http://schemas.openxmlformats.org/officeDocument/2006/relationships/hyperlink" Target="mailto:spectrumworkprogram@acma.gov.au" TargetMode="External"/><Relationship Id="rId30" Type="http://schemas.openxmlformats.org/officeDocument/2006/relationships/hyperlink" Target="https://www.comlaw.gov.au/Series/F2015L01438" TargetMode="External"/><Relationship Id="rId35" Type="http://schemas.openxmlformats.org/officeDocument/2006/relationships/hyperlink" Target="http://www.itu.int/md/R00-CA-CIR-0226/en" TargetMode="External"/><Relationship Id="rId43" Type="http://schemas.openxmlformats.org/officeDocument/2006/relationships/hyperlink" Target="https://www.acma.gov.au/theACMA/future-approach-to-the-3_6-ghz-band" TargetMode="External"/><Relationship Id="rId48" Type="http://schemas.openxmlformats.org/officeDocument/2006/relationships/hyperlink" Target="http://archive.acma.gov.au/webwr/_assets/main/lib410135/aust_procedures-coordination_notification_of_satellite_systems.pdf" TargetMode="External"/><Relationship Id="rId56" Type="http://schemas.openxmlformats.org/officeDocument/2006/relationships/footer" Target="footer8.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acma.gov.au/Industry/Spectrum/Spectrum-planning/About-spectrum-planning/radiofrequency-planning-framework-spectrum-planning-acma"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s://www.comlaw.gov.au/Details/F2013L00827" TargetMode="External"/><Relationship Id="rId38" Type="http://schemas.openxmlformats.org/officeDocument/2006/relationships/hyperlink" Target="https://www.itu.int/md/R15-TG5.1-C-0193/en" TargetMode="External"/><Relationship Id="rId46" Type="http://schemas.openxmlformats.org/officeDocument/2006/relationships/hyperlink" Target="http://www.acma.gov.au/~/media/Spectrum%20Licensing%20Policy/Information/Word%20Document/The%20ACMAs%20long-term%20strategy%20for%20the%20803960%20MHz%20band_decision%20paper%20docx.docx" TargetMode="External"/><Relationship Id="rId59"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13" Type="http://schemas.openxmlformats.org/officeDocument/2006/relationships/hyperlink" Target="https://apps.fcc.gov/edocs_public/Query.do?numberFld=&amp;numberFld2=&amp;docket=14-177&amp;dateFld=&amp;docTitleDesc=" TargetMode="External"/><Relationship Id="rId18" Type="http://schemas.openxmlformats.org/officeDocument/2006/relationships/hyperlink" Target="https://www.itu.int/rec/R-REC-M.1036/en" TargetMode="External"/><Relationship Id="rId26" Type="http://schemas.openxmlformats.org/officeDocument/2006/relationships/hyperlink" Target="https://www.legislation.gov.au/Details/F2018L00221" TargetMode="External"/><Relationship Id="rId3" Type="http://schemas.openxmlformats.org/officeDocument/2006/relationships/hyperlink" Target="http://www.3gpp.org/news-events/3gpp-news/1836-5g_nr_workplan" TargetMode="External"/><Relationship Id="rId21" Type="http://schemas.openxmlformats.org/officeDocument/2006/relationships/hyperlink" Target="https://www.ofcom.org.uk/consultations-and-statements/category-2/opportunities-for-spectrum-sharing-innovation" TargetMode="External"/><Relationship Id="rId34" Type="http://schemas.openxmlformats.org/officeDocument/2006/relationships/hyperlink" Target="https://www.legislation.gov.au/Details/F2018L00222" TargetMode="External"/><Relationship Id="rId7" Type="http://schemas.openxmlformats.org/officeDocument/2006/relationships/hyperlink" Target="https://www.fcc.gov/about-fcc/fcc-initiatives/incentive-auctions" TargetMode="External"/><Relationship Id="rId12" Type="http://schemas.openxmlformats.org/officeDocument/2006/relationships/hyperlink" Target="https://www.google.com.au/url?sa=t&amp;rct=j&amp;q=&amp;esrc=s&amp;source=web&amp;cd=3&amp;cad=rja&amp;uact=8&amp;ved=0ahUKEwi6jp_qlJDaAhUGVrwKHYWmAUoQFggzMAI&amp;url=https%3A%2F%2Fwww.qualcomm.com%2Fmedia%2Fdocuments%2Ffiles%2Fspectrum-for-4g-and-5g.pdf&amp;usg=AOvVaw0FCBPB1Lj_Vaq2RucFO8x3" TargetMode="External"/><Relationship Id="rId17" Type="http://schemas.openxmlformats.org/officeDocument/2006/relationships/hyperlink" Target="http://www.acma.gov.au/~/media/Spectrum%20Engineering/Regulation/pdf/Embargo%20No%2023.pdf" TargetMode="External"/><Relationship Id="rId25" Type="http://schemas.openxmlformats.org/officeDocument/2006/relationships/hyperlink" Target="https://www.legislation.gov.au/Details/F2018L00225" TargetMode="External"/><Relationship Id="rId33" Type="http://schemas.openxmlformats.org/officeDocument/2006/relationships/hyperlink" Target="https://www.legislation.gov.au/Details/F2018L00221" TargetMode="External"/><Relationship Id="rId2" Type="http://schemas.openxmlformats.org/officeDocument/2006/relationships/hyperlink" Target="https://www.itu.int/pub/R-REP-M.2410-2017" TargetMode="External"/><Relationship Id="rId16" Type="http://schemas.openxmlformats.org/officeDocument/2006/relationships/hyperlink" Target="http://www.acma.gov.au/theACMA/25-ghz-band-review" TargetMode="External"/><Relationship Id="rId20" Type="http://schemas.openxmlformats.org/officeDocument/2006/relationships/hyperlink" Target="https://www.fcc.gov/document/fcc-expands-flexible-use-mid-band-spectrum" TargetMode="External"/><Relationship Id="rId29" Type="http://schemas.openxmlformats.org/officeDocument/2006/relationships/hyperlink" Target="https://www.acma.gov.au/Industry/Spectrum/Spectrum-planning/Current-APs-info-and-resources/business-operating-procedures-spectrum-planning-acma" TargetMode="External"/><Relationship Id="rId1" Type="http://schemas.openxmlformats.org/officeDocument/2006/relationships/hyperlink" Target="https://www.acma.gov.au/theACMA/acma-corporate-plan" TargetMode="External"/><Relationship Id="rId6" Type="http://schemas.openxmlformats.org/officeDocument/2006/relationships/hyperlink" Target="http://www.malcolmturnbull.com.au/media/radcomms-2014-spectrum-in-the-age-of-digital-innovation" TargetMode="External"/><Relationship Id="rId11" Type="http://schemas.openxmlformats.org/officeDocument/2006/relationships/hyperlink" Target="https://www.google.com.au/url?sa=t&amp;rct=j&amp;q=&amp;esrc=s&amp;source=web&amp;cd=3&amp;cad=rja&amp;uact=8&amp;ved=0ahUKEwi6jp_qlJDaAhUGVrwKHYWmAUoQFggzMAI&amp;url=https%3A%2F%2Fwww.qualcomm.com%2Fmedia%2Fdocuments%2Ffiles%2Fspectrum-for-4g-and-5g.pdf&amp;usg=AOvVaw0FCBPB1Lj_Vaq2RucFO8x3" TargetMode="External"/><Relationship Id="rId24" Type="http://schemas.openxmlformats.org/officeDocument/2006/relationships/hyperlink" Target="https://www.legislation.gov.au/Details/F2018L00222" TargetMode="External"/><Relationship Id="rId32" Type="http://schemas.openxmlformats.org/officeDocument/2006/relationships/hyperlink" Target="https://www.legislation.gov.au/Details/F2018L00225" TargetMode="External"/><Relationship Id="rId5" Type="http://schemas.openxmlformats.org/officeDocument/2006/relationships/hyperlink" Target="http://www.minister.communications.gov.au/mitch_fifield/news/turnbull_government_to_convene_5g_working_group" TargetMode="External"/><Relationship Id="rId15" Type="http://schemas.openxmlformats.org/officeDocument/2006/relationships/hyperlink" Target="https://www.itu.int/md/dologin_md.asp?lang=en&amp;id=R15-WRC15-C-0102!A21-A1!MSW-E" TargetMode="External"/><Relationship Id="rId23" Type="http://schemas.openxmlformats.org/officeDocument/2006/relationships/hyperlink" Target="https://www.legislation.gov.au/Details/F2018L00221" TargetMode="External"/><Relationship Id="rId28" Type="http://schemas.openxmlformats.org/officeDocument/2006/relationships/hyperlink" Target="https://www.legislation.gov.au/Series/F2014L01584" TargetMode="External"/><Relationship Id="rId10" Type="http://schemas.openxmlformats.org/officeDocument/2006/relationships/hyperlink" Target="https://www.ericsson.com/en/news/2017/8/ericsson-and-softbank-trial-5g-in-4.5ghz-band" TargetMode="External"/><Relationship Id="rId19" Type="http://schemas.openxmlformats.org/officeDocument/2006/relationships/hyperlink" Target="http://www.google.com.au/url?sa=t&amp;rct=j&amp;q=&amp;esrc=s&amp;source=web&amp;cd=10&amp;cad=rja&amp;uact=8&amp;ved=0ahUKEwi_yvCXi5zWAhWBQZQKHVGWCJ0QFghWMAk&amp;url=http%3A%2F%2Fwww2.caict.ac.cn%2Fzscp%2Fqqzkgz%2Fljyd%2F201611%2FP020161125552600506791.pdf&amp;usg=AFQjCNFC3W5_9fbfKj1nvBVkFqyGn2Qdpg" TargetMode="External"/><Relationship Id="rId31" Type="http://schemas.openxmlformats.org/officeDocument/2006/relationships/hyperlink" Target="http://www.cept.org/cept/background" TargetMode="External"/><Relationship Id="rId4" Type="http://schemas.openxmlformats.org/officeDocument/2006/relationships/hyperlink" Target="https://www.communications.gov.au/departmental-news/impacts-5g-productivity-and-economic-growth" TargetMode="External"/><Relationship Id="rId9" Type="http://schemas.openxmlformats.org/officeDocument/2006/relationships/hyperlink" Target="https://www.vodafone.com.au/media/vodafone-nokia-conduct-australias-first-live-public-5g-trial" TargetMode="External"/><Relationship Id="rId14" Type="http://schemas.openxmlformats.org/officeDocument/2006/relationships/hyperlink" Target="https://apps.fcc.gov/edocs_public/Query.do?numberFld=&amp;numberFld2=&amp;docket=14-177&amp;dateFld=&amp;docTitleDesc=" TargetMode="External"/><Relationship Id="rId22" Type="http://schemas.openxmlformats.org/officeDocument/2006/relationships/hyperlink" Target="https://www.legislation.gov.au/Details/F2018L00225" TargetMode="External"/><Relationship Id="rId27" Type="http://schemas.openxmlformats.org/officeDocument/2006/relationships/hyperlink" Target="https://www.legislation.gov.au/Details/F2018L00222" TargetMode="External"/><Relationship Id="rId30" Type="http://schemas.openxmlformats.org/officeDocument/2006/relationships/hyperlink" Target="https://www.acma.gov.au/-/media/Spectrum-Engineering/Information/pdf/RALI-FX20-Millimetre-Wave-Point-to-Point-Self-Coordinated-Stations.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5EC9-4BE1-4C07-A390-EDA32B19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26348</Words>
  <Characters>150186</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2019-07-22T03:05:00Z</dcterms:created>
  <dcterms:modified xsi:type="dcterms:W3CDTF">2019-07-22T03:05:00Z</dcterms:modified>
  <cp:category/>
</cp:coreProperties>
</file>